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作者1，作者2，作者3，等，出版年.论文题目.沉积与特提斯地质，卷（期）：起始页码—终止页码. </w:t>
      </w:r>
      <w:r>
        <w:rPr>
          <w:rFonts w:hint="default" w:ascii="Times New Roman" w:hAnsi="Times New Roman" w:cs="Times New Roman"/>
          <w:bCs/>
          <w:sz w:val="18"/>
          <w:szCs w:val="18"/>
        </w:rPr>
        <w:t>DOI:</w:t>
      </w:r>
    </w:p>
    <w:p>
      <w:pPr>
        <w:ind w:firstLine="0" w:firstLineChars="0"/>
        <w:rPr>
          <w:rFonts w:hint="default" w:ascii="Times New Roman" w:hAnsi="Times New Roman" w:cs="Times New Roman"/>
          <w:bCs/>
          <w:sz w:val="18"/>
          <w:szCs w:val="18"/>
        </w:rPr>
      </w:pPr>
      <w:r>
        <w:rPr>
          <w:rFonts w:hint="default" w:ascii="Times New Roman" w:hAnsi="Times New Roman" w:eastAsia="仿宋_GB2312" w:cs="Times New Roman"/>
          <w:sz w:val="18"/>
          <w:szCs w:val="18"/>
        </w:rPr>
        <w:t xml:space="preserve">HE J L, CHENG Z H, DONG D Z, SUN S S, WANG Z G, 2022. A study on evolution of sedimentary environments of Dongyuemiao Member and key factors for enrichment of shale oil and gas, northeastern Sichuan Basin. </w:t>
      </w:r>
      <w:r>
        <w:rPr>
          <w:rFonts w:hint="default" w:ascii="Times New Roman" w:hAnsi="Times New Roman" w:cs="Times New Roman"/>
          <w:bCs/>
          <w:sz w:val="18"/>
          <w:szCs w:val="18"/>
        </w:rPr>
        <w:t>Sedimentary Geology and Tethyan Geology, DOI:10.19826/j.cnki.1009-3850.2022.05001</w:t>
      </w:r>
    </w:p>
    <w:p>
      <w:pPr>
        <w:ind w:firstLine="321"/>
        <w:rPr>
          <w:rFonts w:hint="default" w:ascii="Times New Roman" w:hAnsi="Times New Roman" w:cs="Times New Roman"/>
          <w:b/>
          <w:sz w:val="16"/>
          <w:szCs w:val="36"/>
        </w:rPr>
      </w:pPr>
    </w:p>
    <w:p>
      <w:pPr>
        <w:snapToGrid/>
        <w:ind w:firstLine="0" w:firstLineChars="0"/>
        <w:jc w:val="center"/>
        <w:rPr>
          <w:rFonts w:hint="eastAsia" w:ascii="Times New Roman" w:hAnsi="Times New Roman" w:cs="Times New Roman" w:eastAsiaTheme="minorEastAsia"/>
          <w:b/>
          <w:kern w:val="2"/>
          <w:sz w:val="32"/>
          <w:szCs w:val="48"/>
          <w:lang w:eastAsia="zh-CN"/>
        </w:rPr>
      </w:pPr>
      <w:r>
        <w:rPr>
          <w:rFonts w:hint="default" w:ascii="Times New Roman" w:hAnsi="Times New Roman" w:cs="Times New Roman" w:eastAsiaTheme="minorEastAsia"/>
          <w:b/>
          <w:kern w:val="2"/>
          <w:sz w:val="32"/>
          <w:szCs w:val="48"/>
        </w:rPr>
        <w:t>论文写作格式</w:t>
      </w:r>
      <w:r>
        <w:rPr>
          <w:rFonts w:hint="eastAsia" w:cs="Times New Roman" w:eastAsiaTheme="minorEastAsia"/>
          <w:b/>
          <w:kern w:val="2"/>
          <w:sz w:val="32"/>
          <w:szCs w:val="48"/>
          <w:lang w:val="en-US" w:eastAsia="zh-CN"/>
        </w:rPr>
        <w:t>模板</w:t>
      </w:r>
    </w:p>
    <w:p>
      <w:pPr>
        <w:snapToGrid/>
        <w:ind w:firstLine="0" w:firstLineChars="0"/>
        <w:jc w:val="center"/>
        <w:rPr>
          <w:rFonts w:hint="default" w:ascii="Times New Roman" w:hAnsi="Times New Roman" w:eastAsia="楷体" w:cs="Times New Roman"/>
          <w:kern w:val="2"/>
          <w:sz w:val="24"/>
          <w:szCs w:val="24"/>
          <w:vertAlign w:val="superscript"/>
        </w:rPr>
      </w:pPr>
      <w:r>
        <w:rPr>
          <w:rFonts w:hint="default" w:ascii="Times New Roman" w:hAnsi="Times New Roman" w:eastAsia="楷体" w:cs="Times New Roman"/>
          <w:kern w:val="2"/>
          <w:sz w:val="24"/>
          <w:szCs w:val="24"/>
        </w:rPr>
        <w:t>作者</w:t>
      </w:r>
      <w:r>
        <w:rPr>
          <w:rStyle w:val="19"/>
          <w:rFonts w:hint="default" w:ascii="Times New Roman" w:hAnsi="Times New Roman" w:eastAsia="楷体" w:cs="Times New Roman"/>
          <w:kern w:val="2"/>
          <w:sz w:val="24"/>
          <w:szCs w:val="24"/>
        </w:rPr>
        <w:footnoteReference w:id="0"/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vertAlign w:val="superscript"/>
        </w:rPr>
        <w:t>,2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</w:rPr>
        <w:t>，作者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vertAlign w:val="superscript"/>
        </w:rPr>
        <w:t>2*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</w:rPr>
        <w:t>，作者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vertAlign w:val="superscript"/>
        </w:rPr>
        <w:t>2</w:t>
      </w:r>
    </w:p>
    <w:p>
      <w:pPr>
        <w:snapToGrid/>
        <w:ind w:firstLine="0" w:firstLineChars="0"/>
        <w:jc w:val="center"/>
        <w:rPr>
          <w:rStyle w:val="40"/>
          <w:rFonts w:hint="default" w:ascii="Times New Roman" w:hAnsi="Times New Roman" w:eastAsia="仿宋" w:cs="Times New Roman"/>
          <w:color w:val="auto"/>
          <w:kern w:val="2"/>
          <w:sz w:val="20"/>
          <w:szCs w:val="20"/>
        </w:rPr>
      </w:pPr>
      <w:r>
        <w:rPr>
          <w:rStyle w:val="40"/>
          <w:rFonts w:hint="default" w:ascii="Times New Roman" w:hAnsi="Times New Roman" w:eastAsia="仿宋" w:cs="Times New Roman"/>
          <w:color w:val="auto"/>
          <w:kern w:val="2"/>
          <w:sz w:val="20"/>
          <w:szCs w:val="20"/>
        </w:rPr>
        <w:t>（1. 单位名称，省 市 610081；2. 单位名称，省 市 邮编）</w:t>
      </w:r>
    </w:p>
    <w:p>
      <w:pPr>
        <w:ind w:firstLine="400"/>
        <w:rPr>
          <w:rFonts w:hint="default" w:ascii="Times New Roman" w:hAnsi="Times New Roman" w:cs="Times New Roman"/>
          <w:sz w:val="20"/>
          <w:szCs w:val="18"/>
        </w:rPr>
      </w:pPr>
    </w:p>
    <w:p>
      <w:pPr>
        <w:snapToGrid/>
        <w:spacing w:line="240" w:lineRule="auto"/>
        <w:ind w:firstLine="0" w:firstLineChars="0"/>
        <w:jc w:val="left"/>
        <w:outlineLvl w:val="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黑体" w:cs="Times New Roman"/>
          <w:b/>
          <w:bCs/>
          <w:sz w:val="20"/>
        </w:rPr>
        <w:t>摘要：</w:t>
      </w:r>
      <w:r>
        <w:rPr>
          <w:rFonts w:cs="Times New Roman"/>
          <w:color w:val="FF0000"/>
          <w:sz w:val="20"/>
        </w:rPr>
        <w:t>格式按照研究目的、方法、</w:t>
      </w:r>
      <w:r>
        <w:rPr>
          <w:rFonts w:hint="default" w:cs="Times New Roman"/>
          <w:color w:val="FF0000"/>
          <w:sz w:val="20"/>
        </w:rPr>
        <w:t>结果、</w:t>
      </w:r>
      <w:r>
        <w:rPr>
          <w:rFonts w:cs="Times New Roman"/>
          <w:color w:val="FF0000"/>
          <w:sz w:val="20"/>
        </w:rPr>
        <w:t>结论、意义</w:t>
      </w:r>
      <w:r>
        <w:rPr>
          <w:rFonts w:hint="default" w:cs="Times New Roman"/>
          <w:color w:val="FF0000"/>
          <w:sz w:val="20"/>
        </w:rPr>
        <w:t>五</w:t>
      </w:r>
      <w:r>
        <w:rPr>
          <w:rFonts w:cs="Times New Roman"/>
          <w:color w:val="FF0000"/>
          <w:sz w:val="20"/>
        </w:rPr>
        <w:t>个方面撰写。</w:t>
      </w:r>
      <w:r>
        <w:rPr>
          <w:rFonts w:hint="default" w:ascii="Times New Roman" w:hAnsi="Times New Roman" w:cs="Times New Roman"/>
          <w:sz w:val="20"/>
        </w:rPr>
        <w:t>要求准确、简洁、量化，可读性、逻辑性强，具有独立性和自明性，不要写本学科领域中常识性的内容，能覆盖本论文的80%内容。</w:t>
      </w:r>
    </w:p>
    <w:p>
      <w:pPr>
        <w:snapToGrid/>
        <w:spacing w:line="240" w:lineRule="auto"/>
        <w:ind w:firstLine="0" w:firstLineChars="0"/>
        <w:jc w:val="left"/>
        <w:outlineLvl w:val="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黑体" w:cs="Times New Roman"/>
          <w:b/>
          <w:bCs/>
          <w:sz w:val="20"/>
        </w:rPr>
        <w:t>关键词：</w:t>
      </w:r>
      <w:r>
        <w:rPr>
          <w:rFonts w:hint="default" w:ascii="Times New Roman" w:hAnsi="Times New Roman" w:cs="Times New Roman"/>
          <w:sz w:val="20"/>
        </w:rPr>
        <w:t>5-8个关键词；必须为实词；中英文逐一对应</w:t>
      </w:r>
    </w:p>
    <w:p>
      <w:pPr>
        <w:snapToGrid/>
        <w:spacing w:line="240" w:lineRule="auto"/>
        <w:ind w:firstLine="0" w:firstLineChars="0"/>
        <w:jc w:val="left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黑体" w:cs="Times New Roman"/>
          <w:b/>
          <w:bCs/>
          <w:sz w:val="20"/>
        </w:rPr>
        <w:t>中图分类号：</w:t>
      </w:r>
      <w:r>
        <w:rPr>
          <w:rFonts w:hint="default" w:ascii="Times New Roman" w:hAnsi="Times New Roman" w:cs="Times New Roman"/>
          <w:sz w:val="20"/>
        </w:rPr>
        <w:t xml:space="preserve">                    </w:t>
      </w:r>
      <w:r>
        <w:rPr>
          <w:rFonts w:hint="default" w:ascii="Times New Roman" w:hAnsi="Times New Roman" w:eastAsia="黑体" w:cs="Times New Roman"/>
          <w:b/>
          <w:bCs/>
          <w:sz w:val="20"/>
        </w:rPr>
        <w:t>文献标识码：</w:t>
      </w:r>
      <w:r>
        <w:rPr>
          <w:rFonts w:hint="default" w:ascii="Times New Roman" w:hAnsi="Times New Roman" w:cs="Times New Roman"/>
          <w:sz w:val="20"/>
        </w:rPr>
        <w:t>A</w:t>
      </w:r>
    </w:p>
    <w:p>
      <w:pPr>
        <w:autoSpaceDE/>
        <w:autoSpaceDN/>
        <w:snapToGrid/>
        <w:spacing w:line="400" w:lineRule="exact"/>
        <w:ind w:left="643" w:hanging="643" w:hangingChars="200"/>
        <w:jc w:val="left"/>
        <w:rPr>
          <w:rStyle w:val="42"/>
          <w:rFonts w:hint="default" w:ascii="Times New Roman" w:hAnsi="Times New Roman" w:cs="Times New Roman"/>
          <w:b/>
          <w:i w:val="0"/>
          <w:color w:val="auto"/>
          <w:kern w:val="2"/>
          <w:sz w:val="32"/>
          <w:szCs w:val="48"/>
        </w:rPr>
      </w:pPr>
    </w:p>
    <w:p>
      <w:pPr>
        <w:autoSpaceDE/>
        <w:autoSpaceDN/>
        <w:snapToGrid/>
        <w:ind w:left="643" w:hanging="643" w:hangingChars="200"/>
        <w:jc w:val="center"/>
        <w:rPr>
          <w:rStyle w:val="42"/>
          <w:rFonts w:hint="default" w:ascii="Times New Roman" w:hAnsi="Times New Roman" w:cs="Times New Roman"/>
          <w:b/>
          <w:i w:val="0"/>
          <w:color w:val="auto"/>
          <w:kern w:val="2"/>
          <w:sz w:val="32"/>
          <w:szCs w:val="48"/>
        </w:rPr>
      </w:pPr>
      <w:r>
        <w:rPr>
          <w:rStyle w:val="42"/>
          <w:rFonts w:hint="default" w:ascii="Times New Roman" w:hAnsi="Times New Roman" w:cs="Times New Roman"/>
          <w:b/>
          <w:i w:val="0"/>
          <w:color w:val="auto"/>
          <w:kern w:val="2"/>
          <w:sz w:val="32"/>
          <w:szCs w:val="48"/>
        </w:rPr>
        <w:t>English title</w:t>
      </w:r>
    </w:p>
    <w:p>
      <w:pPr>
        <w:spacing w:line="240" w:lineRule="auto"/>
        <w:ind w:firstLine="480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HE Jianglin</w:t>
      </w:r>
      <w:r>
        <w:rPr>
          <w:rFonts w:hint="default" w:ascii="Times New Roman" w:hAnsi="Times New Roman" w:eastAsia="仿宋" w:cs="Times New Roman"/>
          <w:sz w:val="24"/>
          <w:vertAlign w:val="superscript"/>
        </w:rPr>
        <w:t>1, 2</w:t>
      </w:r>
      <w:r>
        <w:rPr>
          <w:rFonts w:hint="default" w:ascii="Times New Roman" w:hAnsi="Times New Roman" w:eastAsia="仿宋" w:cs="Times New Roman"/>
          <w:sz w:val="24"/>
        </w:rPr>
        <w:t>，CHENG Zhenghui</w:t>
      </w:r>
      <w:r>
        <w:rPr>
          <w:rFonts w:hint="default" w:ascii="Times New Roman" w:hAnsi="Times New Roman" w:eastAsia="仿宋" w:cs="Times New Roman"/>
          <w:sz w:val="24"/>
          <w:vertAlign w:val="superscript"/>
        </w:rPr>
        <w:t>3*</w:t>
      </w:r>
      <w:r>
        <w:rPr>
          <w:rFonts w:hint="default" w:ascii="Times New Roman" w:hAnsi="Times New Roman" w:eastAsia="仿宋" w:cs="Times New Roman"/>
          <w:sz w:val="24"/>
        </w:rPr>
        <w:t>，DONG Dazhong</w:t>
      </w:r>
      <w:r>
        <w:rPr>
          <w:rFonts w:hint="default" w:ascii="Times New Roman" w:hAnsi="Times New Roman" w:eastAsia="仿宋" w:cs="Times New Roman"/>
          <w:sz w:val="24"/>
          <w:vertAlign w:val="superscript"/>
        </w:rPr>
        <w:t>4</w:t>
      </w:r>
      <w:r>
        <w:rPr>
          <w:rFonts w:hint="default" w:ascii="Times New Roman" w:hAnsi="Times New Roman" w:eastAsia="仿宋" w:cs="Times New Roman"/>
          <w:sz w:val="24"/>
        </w:rPr>
        <w:t>，SUN Shasha</w:t>
      </w:r>
      <w:r>
        <w:rPr>
          <w:rFonts w:hint="default" w:ascii="Times New Roman" w:hAnsi="Times New Roman" w:eastAsia="仿宋" w:cs="Times New Roman"/>
          <w:sz w:val="24"/>
          <w:vertAlign w:val="superscript"/>
        </w:rPr>
        <w:t>4</w:t>
      </w:r>
      <w:r>
        <w:rPr>
          <w:rFonts w:hint="default" w:ascii="Times New Roman" w:hAnsi="Times New Roman" w:eastAsia="仿宋" w:cs="Times New Roman"/>
          <w:sz w:val="24"/>
        </w:rPr>
        <w:t>， WANG Zhiguo</w:t>
      </w:r>
      <w:r>
        <w:rPr>
          <w:rFonts w:hint="default" w:ascii="Times New Roman" w:hAnsi="Times New Roman" w:eastAsia="仿宋" w:cs="Times New Roman"/>
          <w:sz w:val="24"/>
          <w:vertAlign w:val="superscript"/>
        </w:rPr>
        <w:t>5</w:t>
      </w:r>
    </w:p>
    <w:p>
      <w:pPr>
        <w:autoSpaceDE/>
        <w:autoSpaceDN/>
        <w:snapToGrid/>
        <w:spacing w:line="400" w:lineRule="exact"/>
        <w:ind w:left="400" w:hanging="400" w:hangingChars="200"/>
        <w:jc w:val="center"/>
        <w:rPr>
          <w:rStyle w:val="40"/>
          <w:rFonts w:hint="default" w:ascii="Times New Roman" w:hAnsi="Times New Roman" w:cs="Times New Roman"/>
          <w:i/>
          <w:color w:val="auto"/>
          <w:kern w:val="2"/>
          <w:sz w:val="20"/>
          <w:szCs w:val="20"/>
        </w:rPr>
      </w:pPr>
      <w:r>
        <w:rPr>
          <w:rStyle w:val="40"/>
          <w:rFonts w:hint="default" w:ascii="Times New Roman" w:hAnsi="Times New Roman" w:cs="Times New Roman"/>
          <w:i/>
          <w:color w:val="auto"/>
          <w:kern w:val="2"/>
          <w:sz w:val="20"/>
          <w:szCs w:val="20"/>
        </w:rPr>
        <w:t>(</w:t>
      </w:r>
      <w:r>
        <w:rPr>
          <w:rStyle w:val="40"/>
          <w:rFonts w:hint="default" w:ascii="Times New Roman" w:hAnsi="Times New Roman" w:cs="Times New Roman"/>
          <w:iCs/>
          <w:color w:val="auto"/>
          <w:kern w:val="2"/>
          <w:sz w:val="20"/>
          <w:szCs w:val="20"/>
        </w:rPr>
        <w:t>1</w:t>
      </w:r>
      <w:r>
        <w:rPr>
          <w:rStyle w:val="40"/>
          <w:rFonts w:hint="default" w:ascii="Times New Roman" w:hAnsi="Times New Roman" w:cs="Times New Roman"/>
          <w:i/>
          <w:color w:val="auto"/>
          <w:kern w:val="2"/>
          <w:sz w:val="20"/>
          <w:szCs w:val="20"/>
        </w:rPr>
        <w:t xml:space="preserve">. Chengdu Center, China Geological Survey, Chengdu </w:t>
      </w:r>
      <w:r>
        <w:rPr>
          <w:rStyle w:val="40"/>
          <w:rFonts w:hint="default" w:ascii="Times New Roman" w:hAnsi="Times New Roman" w:cs="Times New Roman"/>
          <w:iCs/>
          <w:color w:val="auto"/>
          <w:kern w:val="2"/>
          <w:sz w:val="20"/>
          <w:szCs w:val="20"/>
        </w:rPr>
        <w:t>610081</w:t>
      </w:r>
      <w:r>
        <w:rPr>
          <w:rStyle w:val="40"/>
          <w:rFonts w:hint="default" w:ascii="Times New Roman" w:hAnsi="Times New Roman" w:cs="Times New Roman"/>
          <w:i/>
          <w:color w:val="auto"/>
          <w:kern w:val="2"/>
          <w:sz w:val="20"/>
          <w:szCs w:val="20"/>
        </w:rPr>
        <w:t>,China;</w:t>
      </w:r>
      <w:r>
        <w:rPr>
          <w:rFonts w:hint="default" w:ascii="Times New Roman" w:hAnsi="Times New Roman" w:cs="Times New Roman"/>
          <w:i/>
          <w:iCs/>
          <w:szCs w:val="21"/>
        </w:rPr>
        <w:t xml:space="preserve">; </w:t>
      </w:r>
      <w:r>
        <w:rPr>
          <w:rFonts w:hint="default" w:ascii="Times New Roman" w:hAnsi="Times New Roman" w:cs="Times New Roman"/>
          <w:szCs w:val="21"/>
        </w:rPr>
        <w:t xml:space="preserve">2. </w:t>
      </w:r>
      <w:r>
        <w:rPr>
          <w:rFonts w:hint="default" w:ascii="Times New Roman" w:hAnsi="Times New Roman" w:cs="Times New Roman"/>
          <w:i/>
          <w:iCs/>
          <w:szCs w:val="21"/>
        </w:rPr>
        <w:t>Key Laboratory for Sedimentary Basin and Oil and Gas Resources, Ministry of Natural Resources, Chengdu</w:t>
      </w:r>
      <w:r>
        <w:rPr>
          <w:rFonts w:hint="default" w:ascii="Times New Roman" w:hAnsi="Times New Roman" w:cs="Times New Roman"/>
          <w:szCs w:val="21"/>
        </w:rPr>
        <w:t xml:space="preserve"> 610081</w:t>
      </w:r>
      <w:r>
        <w:rPr>
          <w:rFonts w:hint="default" w:ascii="Times New Roman" w:hAnsi="Times New Roman" w:cs="Times New Roman"/>
          <w:i/>
          <w:iCs/>
          <w:szCs w:val="21"/>
        </w:rPr>
        <w:t>, China;</w:t>
      </w:r>
      <w:r>
        <w:rPr>
          <w:rFonts w:hint="default" w:ascii="Times New Roman" w:hAnsi="Times New Roman" w:cs="Times New Roman"/>
          <w:szCs w:val="21"/>
        </w:rPr>
        <w:t>……</w:t>
      </w:r>
      <w:r>
        <w:rPr>
          <w:rStyle w:val="40"/>
          <w:rFonts w:hint="default" w:ascii="Times New Roman" w:hAnsi="Times New Roman" w:cs="Times New Roman"/>
          <w:i/>
          <w:color w:val="auto"/>
          <w:kern w:val="2"/>
          <w:sz w:val="20"/>
          <w:szCs w:val="20"/>
        </w:rPr>
        <w:t>)</w:t>
      </w:r>
    </w:p>
    <w:p>
      <w:pPr>
        <w:pStyle w:val="24"/>
        <w:spacing w:line="320" w:lineRule="exact"/>
        <w:jc w:val="center"/>
        <w:rPr>
          <w:rFonts w:hint="default" w:ascii="Times New Roman" w:hAnsi="Times New Roman" w:cs="Times New Roman"/>
          <w:b/>
          <w:color w:val="auto"/>
          <w:sz w:val="18"/>
          <w:szCs w:val="18"/>
        </w:rPr>
      </w:pPr>
    </w:p>
    <w:p>
      <w:pPr>
        <w:snapToGrid/>
        <w:spacing w:line="240" w:lineRule="auto"/>
        <w:ind w:firstLine="0" w:firstLineChars="0"/>
        <w:jc w:val="left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 xml:space="preserve">Abstract: </w:t>
      </w:r>
    </w:p>
    <w:p>
      <w:pPr>
        <w:snapToGrid/>
        <w:spacing w:line="240" w:lineRule="auto"/>
        <w:ind w:firstLine="0" w:firstLineChars="0"/>
        <w:jc w:val="left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 xml:space="preserve">Key words: </w:t>
      </w:r>
    </w:p>
    <w:p>
      <w:pPr>
        <w:pStyle w:val="7"/>
        <w:spacing w:line="240" w:lineRule="auto"/>
        <w:ind w:firstLine="0" w:firstLineChars="0"/>
        <w:rPr>
          <w:rFonts w:hint="default" w:ascii="Times New Roman" w:hAnsi="Times New Roman" w:eastAsia="微软雅黑" w:cs="Times New Roman"/>
          <w:sz w:val="20"/>
        </w:rPr>
      </w:pPr>
    </w:p>
    <w:p>
      <w:pPr>
        <w:spacing w:line="240" w:lineRule="auto"/>
        <w:ind w:firstLine="400"/>
        <w:rPr>
          <w:rFonts w:hint="default" w:ascii="Times New Roman" w:hAnsi="Times New Roman" w:cs="Times New Roman"/>
          <w:sz w:val="20"/>
          <w:szCs w:val="18"/>
        </w:rPr>
      </w:pPr>
    </w:p>
    <w:p>
      <w:pPr>
        <w:pStyle w:val="2"/>
        <w:snapToGrid/>
        <w:spacing w:before="0" w:beforeLines="0"/>
        <w:jc w:val="left"/>
        <w:rPr>
          <w:rFonts w:hint="default" w:ascii="Times New Roman" w:hAnsi="Times New Roman" w:cs="Times New Roman"/>
          <w:b w:val="0"/>
          <w:lang w:val="en-US"/>
        </w:rPr>
      </w:pPr>
      <w:r>
        <w:rPr>
          <w:rFonts w:hint="default" w:ascii="Times New Roman" w:hAnsi="Times New Roman" w:cs="Times New Roman"/>
          <w:b w:val="0"/>
          <w:lang w:val="en-US"/>
        </w:rPr>
        <w:t xml:space="preserve">0 </w:t>
      </w:r>
      <w:r>
        <w:rPr>
          <w:rFonts w:hint="default" w:ascii="Times New Roman" w:hAnsi="Times New Roman" w:cs="Times New Roman"/>
          <w:b w:val="0"/>
        </w:rPr>
        <w:t>引言</w:t>
      </w:r>
    </w:p>
    <w:p>
      <w:pPr>
        <w:snapToGrid/>
        <w:spacing w:line="240" w:lineRule="auto"/>
        <w:ind w:firstLine="420"/>
        <w:jc w:val="left"/>
        <w:rPr>
          <w:rFonts w:hint="default" w:ascii="Times New Roman" w:hAnsi="Times New Roman" w:cs="Times New Roman"/>
          <w:szCs w:val="21"/>
        </w:rPr>
      </w:pPr>
      <w:r>
        <w:rPr>
          <w:rFonts w:cs="Times New Roman"/>
          <w:color w:val="FF0000"/>
          <w:szCs w:val="21"/>
        </w:rPr>
        <w:t>引言的写作要点包括了</w:t>
      </w:r>
      <w:r>
        <w:rPr>
          <w:rFonts w:eastAsia="Tahoma" w:cs="Times New Roman"/>
          <w:color w:val="FF0000"/>
          <w:szCs w:val="21"/>
        </w:rPr>
        <w:t>介绍研究背景</w:t>
      </w:r>
      <w:r>
        <w:rPr>
          <w:rFonts w:cs="Times New Roman"/>
          <w:color w:val="FF0000"/>
          <w:szCs w:val="21"/>
        </w:rPr>
        <w:t>、</w:t>
      </w:r>
      <w:r>
        <w:rPr>
          <w:rFonts w:eastAsia="Tahoma" w:cs="Times New Roman"/>
          <w:color w:val="FF0000"/>
          <w:szCs w:val="21"/>
        </w:rPr>
        <w:t>提出研究问题</w:t>
      </w:r>
      <w:r>
        <w:rPr>
          <w:rFonts w:cs="Times New Roman"/>
          <w:color w:val="FF0000"/>
          <w:szCs w:val="21"/>
        </w:rPr>
        <w:t>和</w:t>
      </w:r>
      <w:r>
        <w:rPr>
          <w:rFonts w:eastAsia="Tahoma" w:cs="Times New Roman"/>
          <w:color w:val="FF0000"/>
          <w:szCs w:val="21"/>
        </w:rPr>
        <w:t>阐述研究目的</w:t>
      </w:r>
      <w:r>
        <w:rPr>
          <w:rFonts w:cs="Times New Roman"/>
          <w:color w:val="FF0000"/>
          <w:szCs w:val="21"/>
        </w:rPr>
        <w:t>。</w:t>
      </w:r>
      <w:r>
        <w:rPr>
          <w:rFonts w:hint="default" w:ascii="Times New Roman" w:hAnsi="Times New Roman" w:cs="Times New Roman"/>
          <w:szCs w:val="21"/>
          <w:lang w:bidi="ar"/>
        </w:rPr>
        <w:t>文献回顾是对有足够代表性的已有研究成果进行综述（文献全面，新旧结合，最新文献不能少，引文数量合适），阐明前人相关研究的历史、现状，总结前人工作的优势和不足，即找出现有研究的问题，进而确立研究目的。因此，要有意识地将重点逐渐转移到与研究主题相关的内容，指出某个问题和现象值得进一步研究。</w:t>
      </w:r>
      <w:r>
        <w:rPr>
          <w:rFonts w:hint="default" w:ascii="Times New Roman" w:hAnsi="Times New Roman" w:cs="Times New Roman"/>
          <w:szCs w:val="21"/>
        </w:rPr>
        <w:t>需列举相关的参考文献，尤其是近3~5年内的研究成果。</w:t>
      </w:r>
    </w:p>
    <w:p>
      <w:pPr>
        <w:snapToGrid/>
        <w:spacing w:line="240" w:lineRule="auto"/>
        <w:ind w:firstLine="420"/>
        <w:jc w:val="lef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四川盆地东部XXXXXXXXXXXXXXXXXX</w:t>
      </w:r>
      <w:r>
        <w:rPr>
          <w:rFonts w:hint="default" w:ascii="Times New Roman" w:hAnsi="Times New Roman" w:cs="Times New Roman"/>
          <w:szCs w:val="21"/>
          <w:lang w:bidi="ar"/>
        </w:rPr>
        <w:t>（</w:t>
      </w:r>
      <w:r>
        <w:rPr>
          <w:rFonts w:hint="default" w:ascii="Times New Roman" w:hAnsi="Times New Roman" w:cs="Times New Roman"/>
          <w:color w:val="0000FF"/>
          <w:szCs w:val="21"/>
        </w:rPr>
        <w:t>朱彤等,</w:t>
      </w:r>
      <w:r>
        <w:rPr>
          <w:rFonts w:hint="default" w:ascii="Times New Roman" w:hAnsi="Times New Roman" w:cs="Times New Roman"/>
          <w:color w:val="FF0000"/>
          <w:szCs w:val="21"/>
        </w:rPr>
        <w:t xml:space="preserve"> </w:t>
      </w:r>
      <w:r>
        <w:rPr>
          <w:rFonts w:hint="default" w:ascii="Times New Roman" w:hAnsi="Times New Roman" w:cs="Times New Roman"/>
          <w:color w:val="0000FF"/>
          <w:szCs w:val="21"/>
        </w:rPr>
        <w:t>2012）</w:t>
      </w:r>
      <w:r>
        <w:rPr>
          <w:rFonts w:hint="default" w:ascii="Times New Roman" w:hAnsi="Times New Roman" w:cs="Times New Roman"/>
          <w:szCs w:val="21"/>
        </w:rPr>
        <w:t>，XXXXXXXXX</w:t>
      </w:r>
      <w:r>
        <w:rPr>
          <w:rFonts w:hint="default" w:ascii="Times New Roman" w:hAnsi="Times New Roman" w:cs="Times New Roman"/>
          <w:color w:val="0000FF"/>
          <w:szCs w:val="21"/>
        </w:rPr>
        <w:t>（赵帮胜等,</w:t>
      </w:r>
      <w:r>
        <w:rPr>
          <w:rFonts w:hint="default" w:ascii="Times New Roman" w:hAnsi="Times New Roman" w:cs="Times New Roman"/>
          <w:color w:val="FF0000"/>
          <w:szCs w:val="21"/>
        </w:rPr>
        <w:t xml:space="preserve"> </w:t>
      </w:r>
      <w:r>
        <w:rPr>
          <w:rFonts w:hint="default" w:ascii="Times New Roman" w:hAnsi="Times New Roman" w:cs="Times New Roman"/>
          <w:color w:val="0000FF"/>
          <w:szCs w:val="21"/>
        </w:rPr>
        <w:t>2019）</w:t>
      </w:r>
      <w:r>
        <w:rPr>
          <w:rFonts w:hint="default" w:ascii="Times New Roman" w:hAnsi="Times New Roman" w:cs="Times New Roman"/>
          <w:szCs w:val="21"/>
        </w:rPr>
        <w:t>具有介壳和粉晶灰岩条带发育，脆性矿物层位</w:t>
      </w:r>
      <w:r>
        <w:rPr>
          <w:rFonts w:hint="default" w:ascii="Times New Roman" w:hAnsi="Times New Roman" w:cs="Times New Roman"/>
          <w:color w:val="0000FF"/>
          <w:szCs w:val="21"/>
        </w:rPr>
        <w:t>（Wang et al., 2020</w:t>
      </w:r>
      <w:r>
        <w:rPr>
          <w:rFonts w:hint="default" w:ascii="Times New Roman" w:hAnsi="Times New Roman" w:cs="Times New Roman"/>
          <w:szCs w:val="21"/>
        </w:rPr>
        <w:t>）XXXXXXXXXXX。</w:t>
      </w:r>
    </w:p>
    <w:p>
      <w:pPr>
        <w:pStyle w:val="2"/>
        <w:snapToGrid/>
        <w:spacing w:before="0" w:beforeLines="0"/>
        <w:jc w:val="left"/>
        <w:rPr>
          <w:rFonts w:hint="default" w:ascii="Times New Roman" w:hAnsi="Times New Roman" w:cs="Times New Roman"/>
          <w:b w:val="0"/>
          <w:lang w:val="en-US"/>
        </w:rPr>
      </w:pPr>
      <w:r>
        <w:rPr>
          <w:rFonts w:hint="default" w:ascii="Times New Roman" w:hAnsi="Times New Roman" w:cs="Times New Roman"/>
          <w:b w:val="0"/>
          <w:lang w:val="en-US"/>
        </w:rPr>
        <w:t>1 区域地质背景</w:t>
      </w:r>
    </w:p>
    <w:p>
      <w:pPr>
        <w:snapToGrid/>
        <w:spacing w:line="240" w:lineRule="auto"/>
        <w:ind w:firstLine="42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区域地质背景可包括研究区位置、目标层系等</w:t>
      </w:r>
      <w:r>
        <w:rPr>
          <w:rFonts w:hint="default" w:ascii="Times New Roman" w:hAnsi="Times New Roman" w:cs="Times New Roman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szCs w:val="21"/>
        </w:rPr>
        <w:t>并附有一张区域地质图</w:t>
      </w:r>
      <w:r>
        <w:rPr>
          <w:rFonts w:hint="default" w:ascii="Times New Roman" w:hAnsi="Times New Roman" w:cs="Times New Roman"/>
          <w:color w:val="FF0000"/>
          <w:szCs w:val="21"/>
        </w:rPr>
        <w:t>（图1）。</w:t>
      </w:r>
    </w:p>
    <w:p>
      <w:pPr>
        <w:snapToGrid/>
        <w:ind w:firstLine="42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86400" cy="3735070"/>
            <wp:effectExtent l="0" t="0" r="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left="420" w:leftChars="200" w:firstLine="0" w:firstLineChars="0"/>
        <w:jc w:val="center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A. 图名具有自明性，不读正文即可知道图所表达的意义，图名要有英文翻译；B. 分图应具有分图名</w:t>
      </w:r>
    </w:p>
    <w:p>
      <w:pPr>
        <w:snapToGrid/>
        <w:spacing w:line="240" w:lineRule="auto"/>
        <w:ind w:left="420" w:leftChars="200" w:firstLine="0" w:firstLineChars="0"/>
        <w:jc w:val="center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图1 研究区地质简图与地层分布图，所有图件中的文字要清晰</w:t>
      </w:r>
    </w:p>
    <w:p>
      <w:pPr>
        <w:snapToGrid/>
        <w:spacing w:line="240" w:lineRule="auto"/>
        <w:ind w:firstLine="0" w:firstLineChars="0"/>
        <w:jc w:val="center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Fig. 1 Geological schematic map of northeast Yunnan and adjacent areas</w:t>
      </w:r>
    </w:p>
    <w:p>
      <w:pPr>
        <w:pStyle w:val="2"/>
        <w:snapToGrid/>
        <w:spacing w:before="0" w:beforeLines="0"/>
        <w:jc w:val="left"/>
        <w:rPr>
          <w:rFonts w:hint="default" w:ascii="Times New Roman" w:hAnsi="Times New Roman" w:cs="Times New Roman"/>
          <w:b w:val="0"/>
          <w:lang w:val="en-US"/>
        </w:rPr>
      </w:pPr>
      <w:r>
        <w:rPr>
          <w:rFonts w:hint="default" w:ascii="Times New Roman" w:hAnsi="Times New Roman" w:cs="Times New Roman"/>
          <w:b w:val="0"/>
          <w:lang w:val="en-US"/>
        </w:rPr>
        <w:t>2 样品采集与测试方法</w:t>
      </w:r>
    </w:p>
    <w:p>
      <w:pPr>
        <w:ind w:firstLine="42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简要叙述采样位置和测试方法以及实验室。岩石样品经破碎、淘洗、重液分离和电磁分离后，在双目镜下挑选晶形完好、具有代表性的锆XXXXXXXXXXXXXXXXXXX详细的仪器操作条件和数据处理方法同文献</w:t>
      </w:r>
      <w:r>
        <w:rPr>
          <w:rFonts w:hint="default" w:ascii="Times New Roman" w:hAnsi="Times New Roman" w:cs="Times New Roman"/>
          <w:color w:val="0000FF"/>
          <w:szCs w:val="21"/>
        </w:rPr>
        <w:t>（Liu et al., 2008）</w:t>
      </w:r>
      <w:r>
        <w:rPr>
          <w:rFonts w:hint="default" w:ascii="Times New Roman" w:hAnsi="Times New Roman" w:cs="Times New Roman"/>
          <w:szCs w:val="21"/>
        </w:rPr>
        <w:t>。</w:t>
      </w:r>
    </w:p>
    <w:p>
      <w:pPr>
        <w:pStyle w:val="2"/>
        <w:snapToGrid/>
        <w:spacing w:before="0" w:beforeLines="0"/>
        <w:jc w:val="left"/>
        <w:rPr>
          <w:rFonts w:hint="default" w:ascii="Times New Roman" w:hAnsi="Times New Roman" w:cs="Times New Roman"/>
          <w:b w:val="0"/>
          <w:lang w:val="en-US"/>
        </w:rPr>
      </w:pPr>
      <w:r>
        <w:rPr>
          <w:rFonts w:hint="default" w:ascii="Times New Roman" w:hAnsi="Times New Roman" w:cs="Times New Roman"/>
          <w:b w:val="0"/>
          <w:lang w:val="en-US"/>
        </w:rPr>
        <w:t>3 实验结果</w:t>
      </w:r>
    </w:p>
    <w:p>
      <w:pPr>
        <w:ind w:firstLine="0" w:firstLineChars="0"/>
        <w:outlineLvl w:val="1"/>
        <w:rPr>
          <w:rFonts w:hint="default" w:ascii="Times New Roman" w:hAnsi="Times New Roman" w:eastAsia="黑体" w:cs="Times New Roman"/>
          <w:sz w:val="24"/>
        </w:rPr>
      </w:pPr>
      <w:r>
        <w:rPr>
          <w:rFonts w:hint="default" w:ascii="Times New Roman" w:hAnsi="Times New Roman" w:eastAsia="黑体" w:cs="Times New Roman"/>
          <w:sz w:val="24"/>
        </w:rPr>
        <w:t>3.1 锆石U-Pb年龄</w:t>
      </w:r>
    </w:p>
    <w:p>
      <w:pPr>
        <w:ind w:firstLine="0" w:firstLineChars="0"/>
        <w:outlineLvl w:val="2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3.1.1 样品</w:t>
      </w:r>
      <w:r>
        <w:rPr>
          <w:rFonts w:hint="default" w:ascii="Times New Roman" w:hAnsi="Times New Roman" w:eastAsia="仿宋" w:cs="Times New Roman"/>
          <w:bCs/>
          <w:sz w:val="24"/>
        </w:rPr>
        <w:t>15DFS-2（硅质板岩）</w:t>
      </w:r>
    </w:p>
    <w:p>
      <w:pPr>
        <w:ind w:firstLine="42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样品</w:t>
      </w:r>
      <w:r>
        <w:rPr>
          <w:rFonts w:hint="default" w:ascii="Times New Roman" w:hAnsi="Times New Roman" w:cs="Times New Roman"/>
          <w:bCs/>
          <w:szCs w:val="21"/>
        </w:rPr>
        <w:t>15DFS-2</w:t>
      </w:r>
      <w:r>
        <w:rPr>
          <w:rFonts w:hint="default" w:ascii="Times New Roman" w:hAnsi="Times New Roman" w:cs="Times New Roman"/>
          <w:szCs w:val="21"/>
        </w:rPr>
        <w:t>锆石粒度较小，部分晶XXXXXXXXXXXXXXXXX发光（CL）图像中，部分锆石具有明显的振荡环带结构，部分为弱振荡环带或板状无分带结构；锆石形态XXXXXXXXXXXXX（</w:t>
      </w:r>
      <w:r>
        <w:rPr>
          <w:rFonts w:hint="default" w:ascii="Times New Roman" w:hAnsi="Times New Roman" w:cs="Times New Roman"/>
          <w:color w:val="FF0000"/>
          <w:szCs w:val="21"/>
        </w:rPr>
        <w:t>表1</w:t>
      </w:r>
      <w:r>
        <w:rPr>
          <w:rFonts w:hint="default" w:ascii="Times New Roman" w:hAnsi="Times New Roman" w:cs="Times New Roman"/>
          <w:szCs w:val="21"/>
        </w:rPr>
        <w:t>）。</w:t>
      </w:r>
    </w:p>
    <w:p>
      <w:pPr>
        <w:spacing w:line="240" w:lineRule="auto"/>
        <w:ind w:firstLine="424" w:firstLineChars="202"/>
        <w:jc w:val="center"/>
        <w:rPr>
          <w:rFonts w:hint="default" w:ascii="Times New Roman" w:hAnsi="Times New Roman" w:eastAsia="黑体" w:cs="Times New Roman"/>
          <w:szCs w:val="21"/>
        </w:rPr>
      </w:pPr>
      <w:r>
        <w:rPr>
          <w:rFonts w:hint="default" w:ascii="Times New Roman" w:hAnsi="Times New Roman" w:eastAsia="黑体" w:cs="Times New Roman"/>
          <w:szCs w:val="21"/>
        </w:rPr>
        <w:t>表 1  表名具有自明性，表中数据要有量的单位</w:t>
      </w:r>
    </w:p>
    <w:p>
      <w:pPr>
        <w:spacing w:line="240" w:lineRule="auto"/>
        <w:ind w:firstLine="424" w:firstLineChars="202"/>
        <w:jc w:val="center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 xml:space="preserve"> Table 1 The distribution of the pores in the Dongyuemiao shale</w:t>
      </w:r>
    </w:p>
    <w:tbl>
      <w:tblPr>
        <w:tblStyle w:val="13"/>
        <w:tblW w:w="898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"/>
        <w:gridCol w:w="1403"/>
        <w:gridCol w:w="1511"/>
        <w:gridCol w:w="1383"/>
        <w:gridCol w:w="1500"/>
        <w:gridCol w:w="1262"/>
        <w:gridCol w:w="124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tblHeader/>
          <w:jc w:val="center"/>
        </w:trPr>
        <w:tc>
          <w:tcPr>
            <w:tcW w:w="68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0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孔隙直径区间（</w:t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nm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51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平均孔隙直径（</w:t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nm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3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孔隙体积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（</w:t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cc/g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5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贡献率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26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比表面积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（</w:t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m</w:t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/g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24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贡献率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(%)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03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150~170</w:t>
            </w:r>
          </w:p>
        </w:tc>
        <w:tc>
          <w:tcPr>
            <w:tcW w:w="1511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383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0.00079</w:t>
            </w:r>
          </w:p>
        </w:tc>
        <w:tc>
          <w:tcPr>
            <w:tcW w:w="1500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1262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0.01974</w:t>
            </w:r>
          </w:p>
        </w:tc>
        <w:tc>
          <w:tcPr>
            <w:tcW w:w="1243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0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130~150</w:t>
            </w:r>
          </w:p>
        </w:tc>
        <w:tc>
          <w:tcPr>
            <w:tcW w:w="1511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8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0.005269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7.19</w:t>
            </w:r>
          </w:p>
        </w:tc>
        <w:tc>
          <w:tcPr>
            <w:tcW w:w="1262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0.1506</w:t>
            </w:r>
          </w:p>
        </w:tc>
        <w:tc>
          <w:tcPr>
            <w:tcW w:w="124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0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110~130</w:t>
            </w:r>
          </w:p>
        </w:tc>
        <w:tc>
          <w:tcPr>
            <w:tcW w:w="1511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38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0.005116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6.98</w:t>
            </w:r>
          </w:p>
        </w:tc>
        <w:tc>
          <w:tcPr>
            <w:tcW w:w="1262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0.1705</w:t>
            </w:r>
          </w:p>
        </w:tc>
        <w:tc>
          <w:tcPr>
            <w:tcW w:w="124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0.64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90~110</w:t>
            </w:r>
          </w:p>
        </w:tc>
        <w:tc>
          <w:tcPr>
            <w:tcW w:w="1511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8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0.003677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262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0.1471</w:t>
            </w:r>
          </w:p>
        </w:tc>
        <w:tc>
          <w:tcPr>
            <w:tcW w:w="124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0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70~90</w:t>
            </w:r>
          </w:p>
        </w:tc>
        <w:tc>
          <w:tcPr>
            <w:tcW w:w="1511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8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0.003677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262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0.1839</w:t>
            </w:r>
          </w:p>
        </w:tc>
        <w:tc>
          <w:tcPr>
            <w:tcW w:w="124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0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50~70</w:t>
            </w:r>
          </w:p>
        </w:tc>
        <w:tc>
          <w:tcPr>
            <w:tcW w:w="1511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8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0.01101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15.01</w:t>
            </w:r>
          </w:p>
        </w:tc>
        <w:tc>
          <w:tcPr>
            <w:tcW w:w="1262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0.734</w:t>
            </w:r>
          </w:p>
        </w:tc>
        <w:tc>
          <w:tcPr>
            <w:tcW w:w="124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2.75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0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45~50</w:t>
            </w:r>
          </w:p>
        </w:tc>
        <w:tc>
          <w:tcPr>
            <w:tcW w:w="1511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47.5</w:t>
            </w:r>
          </w:p>
        </w:tc>
        <w:tc>
          <w:tcPr>
            <w:tcW w:w="138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0.002853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1262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0.2403</w:t>
            </w:r>
          </w:p>
        </w:tc>
        <w:tc>
          <w:tcPr>
            <w:tcW w:w="124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0.90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687" w:type="dxa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0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138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0.073333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  <w:t>26.68994</w:t>
            </w:r>
          </w:p>
        </w:tc>
        <w:tc>
          <w:tcPr>
            <w:tcW w:w="1243" w:type="dxa"/>
            <w:noWrap/>
            <w:vAlign w:val="center"/>
          </w:tcPr>
          <w:p>
            <w:pPr>
              <w:widowControl/>
              <w:spacing w:line="240" w:lineRule="auto"/>
              <w:ind w:firstLine="360"/>
              <w:jc w:val="center"/>
              <w:rPr>
                <w:rFonts w:hint="default" w:ascii="Times New Roman" w:hAnsi="Times New Roman" w:eastAsia="等线" w:cs="Times New Roman"/>
                <w:color w:val="000000"/>
                <w:sz w:val="18"/>
                <w:szCs w:val="18"/>
              </w:rPr>
            </w:pPr>
          </w:p>
        </w:tc>
      </w:tr>
    </w:tbl>
    <w:p>
      <w:pPr>
        <w:ind w:firstLine="420"/>
        <w:rPr>
          <w:rFonts w:hint="default" w:ascii="Times New Roman" w:hAnsi="Times New Roman" w:cs="Times New Roman"/>
        </w:rPr>
      </w:pPr>
    </w:p>
    <w:p>
      <w:pPr>
        <w:ind w:firstLine="0" w:firstLineChars="0"/>
        <w:outlineLvl w:val="2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 xml:space="preserve">3.1.2 XXXX沉积特征 </w:t>
      </w:r>
    </w:p>
    <w:p>
      <w:pPr>
        <w:snapToGrid/>
        <w:spacing w:line="240" w:lineRule="auto"/>
        <w:ind w:firstLine="420"/>
        <w:jc w:val="left"/>
        <w:outlineLvl w:val="9"/>
        <w:rPr>
          <w:rFonts w:hint="default" w:ascii="Times New Roman" w:hAnsi="Times New Roman" w:cs="Times New Roman"/>
          <w:szCs w:val="21"/>
          <w:lang w:bidi="ar"/>
        </w:rPr>
      </w:pPr>
      <w:r>
        <w:rPr>
          <w:rFonts w:hint="default" w:ascii="Times New Roman" w:hAnsi="Times New Roman" w:cs="Times New Roman"/>
          <w:szCs w:val="21"/>
          <w:lang w:bidi="ar"/>
        </w:rPr>
        <w:t>XXXXXXXXXXXX（图2）。</w:t>
      </w:r>
    </w:p>
    <w:p>
      <w:pPr>
        <w:ind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932805" cy="4139565"/>
            <wp:effectExtent l="0" t="0" r="1079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2555" t="1031" r="1560" b="159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ind w:firstLine="0" w:firstLineChars="0"/>
        <w:jc w:val="center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a：鲍玛序列Ta段，由砾岩组成多个30～50cm正粒序，含油性好；b：Ta段中砾石成分和结构成熟度低（单偏光）；c：Ta段砾石呈棱角状（单偏光）；d： 发育多个Tc段，见波状层理和火焰构造，每个Tc段厚5~20cm，含油性好；e：Tc段发育揉皱构造（包卷层理）；f： Tc段可见沥青充填晶间孔（单偏光）；g：灰黑色极薄层状灰岩间夹多套透镜状滑塌角砾岩</w:t>
      </w:r>
    </w:p>
    <w:p>
      <w:pPr>
        <w:snapToGrid/>
        <w:spacing w:line="240" w:lineRule="auto"/>
        <w:ind w:left="420" w:leftChars="200" w:firstLine="0" w:firstLineChars="0"/>
        <w:jc w:val="center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图4 鄂尔托陇巴剖面波里拉组含油灰岩沉积特征，每个小图都需要编号并命名</w:t>
      </w:r>
    </w:p>
    <w:p>
      <w:pPr>
        <w:snapToGrid/>
        <w:spacing w:line="240" w:lineRule="auto"/>
        <w:ind w:left="420" w:leftChars="200" w:firstLine="0" w:firstLineChars="0"/>
        <w:jc w:val="center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 xml:space="preserve">Fig.4  Oil-bearing limestone sedimentary characteristics of </w:t>
      </w:r>
      <w:r>
        <w:rPr>
          <w:rFonts w:hint="default" w:ascii="Times New Roman" w:hAnsi="Times New Roman" w:cs="Times New Roman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Cs w:val="21"/>
        </w:rPr>
        <w:t>Bolila Formation in Ertuo Longba section</w:t>
      </w:r>
    </w:p>
    <w:p>
      <w:pPr>
        <w:pStyle w:val="2"/>
        <w:snapToGrid/>
        <w:spacing w:before="0" w:beforeLines="0"/>
        <w:jc w:val="left"/>
        <w:rPr>
          <w:rFonts w:hint="default" w:ascii="Times New Roman" w:hAnsi="Times New Roman" w:cs="Times New Roman"/>
          <w:b w:val="0"/>
        </w:rPr>
      </w:pPr>
      <w:r>
        <w:rPr>
          <w:rFonts w:hint="default" w:ascii="Times New Roman" w:hAnsi="Times New Roman" w:cs="Times New Roman"/>
          <w:b w:val="0"/>
        </w:rPr>
        <w:t>4</w:t>
      </w:r>
      <w:r>
        <w:rPr>
          <w:rFonts w:hint="default" w:ascii="Times New Roman" w:hAnsi="Times New Roman" w:cs="Times New Roman"/>
          <w:b w:val="0"/>
          <w:lang w:val="en-US"/>
        </w:rPr>
        <w:t xml:space="preserve"> </w:t>
      </w:r>
      <w:r>
        <w:rPr>
          <w:rFonts w:hint="default" w:ascii="Times New Roman" w:hAnsi="Times New Roman" w:cs="Times New Roman"/>
          <w:b w:val="0"/>
        </w:rPr>
        <w:t>讨论</w:t>
      </w:r>
    </w:p>
    <w:p>
      <w:pPr>
        <w:snapToGrid/>
        <w:spacing w:line="240" w:lineRule="auto"/>
        <w:ind w:firstLine="420"/>
        <w:jc w:val="left"/>
        <w:outlineLvl w:val="9"/>
        <w:rPr>
          <w:rFonts w:hint="default" w:ascii="Times New Roman" w:hAnsi="Times New Roman" w:cs="Times New Roman"/>
          <w:szCs w:val="21"/>
          <w:lang w:bidi="ar"/>
        </w:rPr>
      </w:pPr>
      <w:r>
        <w:rPr>
          <w:rFonts w:hint="default" w:ascii="Times New Roman" w:hAnsi="Times New Roman" w:cs="Times New Roman"/>
          <w:szCs w:val="21"/>
          <w:lang w:bidi="ar"/>
        </w:rPr>
        <w:t>对研究手段和使用方法的有效性、研究结果的合理性进行讨论，对今后研究提出建议，引起后人注意。应该由观结果引申得出。</w:t>
      </w:r>
    </w:p>
    <w:p>
      <w:pPr>
        <w:ind w:firstLine="0" w:firstLineChars="0"/>
        <w:outlineLvl w:val="1"/>
        <w:rPr>
          <w:rFonts w:hint="default" w:ascii="Times New Roman" w:hAnsi="Times New Roman" w:eastAsia="黑体" w:cs="Times New Roman"/>
          <w:sz w:val="24"/>
        </w:rPr>
      </w:pPr>
      <w:r>
        <w:rPr>
          <w:rFonts w:hint="default" w:ascii="Times New Roman" w:hAnsi="Times New Roman" w:eastAsia="黑体" w:cs="Times New Roman"/>
          <w:sz w:val="24"/>
        </w:rPr>
        <w:t>4.1 花山群的沉积时限及构造属性</w:t>
      </w:r>
    </w:p>
    <w:p>
      <w:pPr>
        <w:ind w:firstLine="0" w:firstLineChars="0"/>
        <w:outlineLvl w:val="2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4.1.1 花山群的沉积时限</w:t>
      </w:r>
    </w:p>
    <w:p>
      <w:pPr>
        <w:snapToGrid/>
        <w:spacing w:line="240" w:lineRule="auto"/>
        <w:ind w:firstLine="420"/>
        <w:jc w:val="left"/>
        <w:outlineLvl w:val="9"/>
        <w:rPr>
          <w:rFonts w:eastAsia="宋体" w:cs="Times New Roman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szCs w:val="21"/>
          <w:lang w:bidi="ar"/>
        </w:rPr>
        <w:t>近年来通过年代学研究，</w:t>
      </w:r>
      <w:r>
        <w:rPr>
          <w:rFonts w:hint="default" w:hAnsi="Times New Roman" w:cs="Times New Roman"/>
          <w:szCs w:val="21"/>
          <w:lang w:bidi="ar"/>
        </w:rPr>
        <w:t>本文所指的</w:t>
      </w:r>
      <w:r>
        <w:rPr>
          <w:rFonts w:hint="default" w:ascii="Times New Roman" w:hAnsi="Times New Roman" w:cs="Times New Roman"/>
          <w:szCs w:val="21"/>
          <w:lang w:bidi="ar"/>
        </w:rPr>
        <w:t>花山群时代确认为新元古代，但其准确的沉积时限一直存在争论，如</w:t>
      </w:r>
      <w:r>
        <w:rPr>
          <w:rStyle w:val="15"/>
          <w:rFonts w:cs="Times New Roman"/>
          <w:lang w:bidi="ar"/>
        </w:rPr>
        <w:t>820</w:t>
      </w:r>
      <w:r>
        <w:rPr>
          <w:rFonts w:hint="default" w:ascii="Times New Roman" w:hAnsi="Times New Roman" w:cs="Times New Roman"/>
          <w:szCs w:val="21"/>
          <w:lang w:bidi="ar"/>
        </w:rPr>
        <w:t>~</w:t>
      </w:r>
      <w:r>
        <w:rPr>
          <w:rStyle w:val="15"/>
          <w:rFonts w:cs="Times New Roman"/>
          <w:lang w:bidi="ar"/>
        </w:rPr>
        <w:t>815 Ma</w:t>
      </w:r>
    </w:p>
    <w:p>
      <w:pPr>
        <w:ind w:firstLine="0" w:firstLineChars="0"/>
        <w:outlineLvl w:val="2"/>
        <w:rPr>
          <w:rFonts w:hint="default" w:ascii="Times New Roman" w:hAnsi="Times New Roman" w:eastAsia="仿宋" w:cs="Times New Roman"/>
          <w:sz w:val="24"/>
        </w:rPr>
      </w:pPr>
      <w:r>
        <w:rPr>
          <w:rFonts w:hint="default" w:ascii="Times New Roman" w:hAnsi="Times New Roman" w:eastAsia="仿宋" w:cs="Times New Roman"/>
          <w:sz w:val="24"/>
        </w:rPr>
        <w:t>4.1.2 花山群玄武岩的成因</w:t>
      </w:r>
    </w:p>
    <w:p>
      <w:pPr>
        <w:snapToGrid/>
        <w:spacing w:line="240" w:lineRule="auto"/>
        <w:ind w:firstLine="420"/>
        <w:jc w:val="left"/>
        <w:outlineLvl w:val="9"/>
        <w:rPr>
          <w:rFonts w:hint="default" w:eastAsia="宋体" w:cs="Times New Roman"/>
          <w:sz w:val="21"/>
          <w:szCs w:val="21"/>
          <w:lang w:bidi="ar"/>
        </w:rPr>
      </w:pPr>
      <w:r>
        <w:rPr>
          <w:rFonts w:hint="default" w:eastAsia="宋体" w:cs="Times New Roman"/>
          <w:sz w:val="21"/>
          <w:szCs w:val="21"/>
          <w:lang w:bidi="ar"/>
        </w:rPr>
        <w:t>XXXXXXXXXXXXXXXXXXXXXXXXXX...............</w:t>
      </w:r>
    </w:p>
    <w:p>
      <w:pPr>
        <w:ind w:firstLine="0" w:firstLineChars="0"/>
        <w:outlineLvl w:val="1"/>
        <w:rPr>
          <w:rFonts w:hint="default" w:ascii="Times New Roman" w:hAnsi="Times New Roman" w:eastAsia="黑体" w:cs="Times New Roman"/>
          <w:sz w:val="24"/>
          <w:lang w:val="en-US" w:eastAsia="zh-CN"/>
        </w:rPr>
      </w:pPr>
    </w:p>
    <w:p>
      <w:pPr>
        <w:pStyle w:val="2"/>
        <w:snapToGrid/>
        <w:spacing w:before="0" w:beforeLines="0"/>
        <w:jc w:val="left"/>
        <w:rPr>
          <w:rFonts w:hint="default" w:ascii="Times New Roman" w:hAnsi="Times New Roman" w:cs="Times New Roman"/>
          <w:b w:val="0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szCs w:val="24"/>
          <w:lang w:val="en-US"/>
        </w:rPr>
        <w:t>5 结论</w:t>
      </w:r>
    </w:p>
    <w:p>
      <w:pPr>
        <w:numPr>
          <w:ilvl w:val="0"/>
          <w:numId w:val="1"/>
        </w:numPr>
        <w:snapToGrid/>
        <w:spacing w:line="240" w:lineRule="auto"/>
        <w:ind w:firstLine="42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对整篇论文进行总结，对研究对象所揭示出来的原理、普遍性进行总结。</w:t>
      </w:r>
    </w:p>
    <w:p>
      <w:pPr>
        <w:numPr>
          <w:ilvl w:val="0"/>
          <w:numId w:val="1"/>
        </w:numPr>
        <w:snapToGrid/>
        <w:spacing w:line="240" w:lineRule="auto"/>
        <w:ind w:firstLine="42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一般3~5条。</w:t>
      </w:r>
    </w:p>
    <w:p>
      <w:pPr>
        <w:numPr>
          <w:ilvl w:val="0"/>
          <w:numId w:val="1"/>
        </w:numPr>
        <w:snapToGrid/>
        <w:spacing w:line="240" w:lineRule="auto"/>
        <w:ind w:firstLine="42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不能与摘要完全一致。</w:t>
      </w:r>
    </w:p>
    <w:p>
      <w:pPr>
        <w:snapToGrid/>
        <w:ind w:firstLine="440"/>
        <w:rPr>
          <w:rFonts w:hint="default" w:ascii="Times New Roman" w:hAnsi="Times New Roman" w:eastAsia="楷体" w:cs="Times New Roman"/>
          <w:sz w:val="22"/>
          <w:szCs w:val="18"/>
        </w:rPr>
      </w:pPr>
    </w:p>
    <w:p>
      <w:pPr>
        <w:snapToGrid/>
        <w:ind w:firstLine="440"/>
        <w:rPr>
          <w:rFonts w:hint="default" w:ascii="Times New Roman" w:hAnsi="Times New Roman" w:eastAsia="楷体" w:cs="Times New Roman"/>
          <w:sz w:val="21"/>
          <w:szCs w:val="21"/>
        </w:rPr>
      </w:pPr>
      <w:r>
        <w:rPr>
          <w:rFonts w:hint="default" w:ascii="Times New Roman" w:hAnsi="Times New Roman" w:eastAsia="楷体" w:cs="Times New Roman"/>
          <w:sz w:val="21"/>
          <w:szCs w:val="21"/>
        </w:rPr>
        <w:t>致谢：对两位匿名审稿人的建设性意见表示感谢。</w:t>
      </w:r>
    </w:p>
    <w:p>
      <w:pPr>
        <w:snapToGrid/>
        <w:ind w:firstLine="440"/>
        <w:rPr>
          <w:rFonts w:hint="default" w:ascii="Times New Roman" w:hAnsi="Times New Roman" w:cs="Times New Roman"/>
          <w:sz w:val="22"/>
          <w:szCs w:val="18"/>
        </w:rPr>
      </w:pPr>
    </w:p>
    <w:p>
      <w:pPr>
        <w:pStyle w:val="3"/>
        <w:spacing w:before="0"/>
        <w:jc w:val="left"/>
        <w:rPr>
          <w:rFonts w:hint="default" w:ascii="Times New Roman" w:hAnsi="Times New Roman" w:eastAsia="黑体" w:cs="Times New Roman"/>
          <w:b w:val="0"/>
          <w:bCs w:val="0"/>
          <w:sz w:val="22"/>
          <w:szCs w:val="24"/>
        </w:rPr>
      </w:pPr>
      <w:bookmarkStart w:id="0" w:name="_Hlk34943152"/>
      <w:r>
        <w:rPr>
          <w:rFonts w:hint="default" w:ascii="Times New Roman" w:hAnsi="Times New Roman" w:eastAsia="黑体" w:cs="Times New Roman"/>
          <w:b w:val="0"/>
          <w:bCs w:val="0"/>
          <w:sz w:val="22"/>
          <w:szCs w:val="24"/>
        </w:rPr>
        <w:t>参考文献（Reference）：</w:t>
      </w:r>
    </w:p>
    <w:bookmarkEnd w:id="0"/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Zhou M F, Kennedy A K, Sun M, et al., 2002b. Neoproterozoic Arc-Related Maﬁc Intrusions along the Northern Margin of South China: Implications for the Accretion of Rodinia[J]. The journal of Geology, 110: 611-618.</w:t>
      </w:r>
    </w:p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Zhou M F, Ma Y, Yan D P, et al., 2006. The Yanbian Terrane (Southern Sichuan Province, SW China): a Neoproterozoic arc assemblage in the western margin of the Yangtze Block[J]. Precambrian Research, 144: 19-38.</w:t>
      </w:r>
    </w:p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Zhuo J W, Jiang X S, Wang J, et al., 2013. Opening time and filling pattern of the Neoproterozoic Kangdian Rift Basin, western Yangtze Continent, South China[J]. Science China Earth Sciences, 56(10): 1664-1676.</w:t>
      </w:r>
    </w:p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湖北省地质矿产局, 1996. 湖北省岩石地层[M]. 武汉: 中国地质大学出版社.</w:t>
      </w:r>
      <w:r>
        <w:rPr>
          <w:rFonts w:hint="default" w:ascii="Times New Roman" w:hAnsi="Times New Roman" w:cs="Times New Roman"/>
          <w:sz w:val="18"/>
          <w:szCs w:val="18"/>
        </w:rPr>
        <w:t xml:space="preserve"> Bureau of Geology and Mineral Resources of Hubei Province, 1996. Stratigraphy (Lithostratic) of Hubei Province[M]. Wuhan: China University of Geosciences Press.</w:t>
      </w:r>
    </w:p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陈超, 毛新武, 胡正祥, 等, 2017. 鄂北大洪山地区～817 Ma洋岛玄武岩的发现及意义[J]．地质科技情报, 36(6): 22-31.</w:t>
      </w:r>
      <w:r>
        <w:rPr>
          <w:rFonts w:hint="default" w:ascii="Times New Roman" w:hAnsi="Times New Roman" w:cs="Times New Roman"/>
          <w:sz w:val="18"/>
          <w:szCs w:val="18"/>
          <w:lang w:val="de-DE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</w:rPr>
        <w:t>Chen C, Mao X W, Hu Z X, et al., 2017. Discovery of ~817 Ma oceanic island basalts in the Dahongshan region, northern Huber Province and its significance[J]. Geological Science and Technology Information, 36(6): 22-31.</w:t>
      </w:r>
    </w:p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崔晓庄, 江新胜, 王剑, 等, 2014. 滇中新元古代裂谷盆地充填序列及演化模式: 对Rodinia超大陆裂解的响应[J]. 沉积学报, 32(3): 399-409.</w:t>
      </w:r>
      <w:r>
        <w:rPr>
          <w:rFonts w:hint="default" w:ascii="Times New Roman" w:hAnsi="Times New Roman" w:cs="Times New Roman"/>
          <w:sz w:val="18"/>
          <w:szCs w:val="18"/>
        </w:rPr>
        <w:t xml:space="preserve"> Cui X Z, Jiang X S, Wang J, et al., 2014. Filling sequence and evolution model of the Neoproterozoic rift basin in central Yunnan Province, South China: Response to the breakup of Rodinia Supercontinent[J]. Acta Sedimentologica Sinica, 32(3): 399-409.</w:t>
      </w:r>
    </w:p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邓奇, 王剑, 汪正江, 等, 2016. 江南造山带新元古代中期(830~750 Ma)岩浆活动及对构造演化的制约[J]. 大地构造与成矿学, 40(4): 753-771.</w:t>
      </w:r>
      <w:r>
        <w:rPr>
          <w:rFonts w:hint="default" w:ascii="Times New Roman" w:hAnsi="Times New Roman" w:cs="Times New Roman"/>
          <w:sz w:val="18"/>
          <w:szCs w:val="18"/>
        </w:rPr>
        <w:t xml:space="preserve"> Deng Q, Wang J, Wang Z J, et al., 2016. Middle Neoproterozoic magmatic activities and their constraints on tectonic evolution of the Jiangnan Orogen[J]. Geotectonica et Metallogenia, 40(4): 753-771.</w:t>
      </w:r>
    </w:p>
    <w:p>
      <w:pPr>
        <w:ind w:left="419" w:hanging="419" w:hangingChars="233"/>
        <w:rPr>
          <w:rFonts w:hint="default" w:ascii="Times New Roman" w:hAnsi="Times New Roman" w:cs="Times New Roman"/>
          <w:color w:val="000000"/>
          <w:sz w:val="18"/>
          <w:szCs w:val="18"/>
        </w:rPr>
      </w:pPr>
      <w:r>
        <w:rPr>
          <w:rFonts w:hint="default" w:ascii="Times New Roman" w:hAnsi="Times New Roman" w:cs="Times New Roman"/>
          <w:color w:val="000000"/>
          <w:sz w:val="18"/>
          <w:szCs w:val="18"/>
        </w:rPr>
        <w:t>董云鹏, 张国伟, 柳小明, 等, 1998. 鄂北大洪山地区“花山群”的解体中国区域地质[J]. 中国区域地质, 17(4): 371-376.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color w:val="000000"/>
          <w:sz w:val="18"/>
          <w:szCs w:val="18"/>
        </w:rPr>
        <w:t>Dong Y P, Zhang G W, Liu X M, et al., 1998. Disintegration of the Huashan Group in the Dahong Mountain area, northern Hubei[J]. Regional Geology of China, 17(4): 371-376.</w:t>
      </w:r>
    </w:p>
    <w:p>
      <w:pPr>
        <w:autoSpaceDE/>
        <w:autoSpaceDN/>
        <w:ind w:left="0" w:leftChars="0" w:firstLine="0" w:firstLineChars="0"/>
        <w:jc w:val="left"/>
        <w:rPr>
          <w:rStyle w:val="42"/>
          <w:rFonts w:hint="eastAsia" w:eastAsia="黑体" w:cs="Times New Roman"/>
          <w:b/>
          <w:i w:val="0"/>
          <w:kern w:val="2"/>
          <w:sz w:val="28"/>
          <w:szCs w:val="28"/>
          <w:lang w:val="en-US" w:eastAsia="zh-CN"/>
        </w:rPr>
      </w:pPr>
    </w:p>
    <w:p>
      <w:pPr>
        <w:autoSpaceDE/>
        <w:autoSpaceDN/>
        <w:ind w:left="0" w:leftChars="0" w:firstLine="0" w:firstLineChars="0"/>
        <w:jc w:val="center"/>
        <w:rPr>
          <w:rStyle w:val="42"/>
          <w:rFonts w:hint="eastAsia" w:eastAsia="黑体" w:cs="Times New Roman"/>
          <w:b/>
          <w:i w:val="0"/>
          <w:kern w:val="2"/>
          <w:sz w:val="40"/>
          <w:szCs w:val="40"/>
          <w:lang w:val="en-US" w:eastAsia="zh-CN"/>
        </w:rPr>
      </w:pPr>
      <w:r>
        <w:rPr>
          <w:rStyle w:val="42"/>
          <w:rFonts w:hint="eastAsia" w:eastAsia="黑体" w:cs="Times New Roman"/>
          <w:b/>
          <w:i w:val="0"/>
          <w:kern w:val="2"/>
          <w:sz w:val="40"/>
          <w:szCs w:val="40"/>
          <w:lang w:val="en-US" w:eastAsia="zh-CN"/>
        </w:rPr>
        <w:t>写作指南</w:t>
      </w:r>
    </w:p>
    <w:p>
      <w:pPr>
        <w:numPr>
          <w:ilvl w:val="0"/>
          <w:numId w:val="2"/>
        </w:numPr>
        <w:autoSpaceDE/>
        <w:autoSpaceDN/>
        <w:ind w:left="0" w:leftChars="0" w:firstLine="0" w:firstLineChars="0"/>
        <w:jc w:val="left"/>
        <w:rPr>
          <w:rStyle w:val="42"/>
          <w:rFonts w:hint="default" w:eastAsia="黑体" w:cs="Times New Roman"/>
          <w:b/>
          <w:i w:val="0"/>
          <w:kern w:val="2"/>
          <w:sz w:val="28"/>
          <w:szCs w:val="28"/>
          <w:lang w:val="en-US" w:eastAsia="zh-CN"/>
        </w:rPr>
      </w:pPr>
      <w:r>
        <w:rPr>
          <w:rStyle w:val="42"/>
          <w:rFonts w:hint="eastAsia" w:eastAsia="黑体" w:cs="Times New Roman"/>
          <w:b/>
          <w:i w:val="0"/>
          <w:kern w:val="2"/>
          <w:sz w:val="28"/>
          <w:szCs w:val="28"/>
          <w:lang w:val="en-US" w:eastAsia="zh-CN"/>
        </w:rPr>
        <w:t>关于参考文献的著录形式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本刊采用著者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出版年制，即按作者姓氏的首字母顺序排列。正文中引用的文献与文后参考文献列表中的文献要一一对应。个人交流、互联网网址和非正式出版物不放在参考文献列表中。引用规则如下：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正文中文献的引用：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（1）只有一位作者的文献，正文中列出该作者姓名和出版年代；两位作者合著的文献，应将两位作者姓名都列出，中间用“和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(and)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”连接；三位及以上作者合著的文献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,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只列出第一作者，后加“等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(et al.)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（2）引用相同作者同一年份的不同文章时，列出作者姓名。年份后加注“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a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”，“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b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”或“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c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（3）两篇或多篇文献著者的姓氏及出版年份均相同时，需要给出著者名的缩写。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示例：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Cheng(2009)×××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李四等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(2003, 2008a, 2008b, 2012)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×××(Chen, 2003; Li, 2011)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×××(Chen et al., 2009a, 2009b, 2012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；王五等，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2019)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×××(Li et al., 2009; Zhang, 2012)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文后参考文献列表的著录规则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（1）参考文献列表按照先西文、后中文的顺序排序，西文文献按著者姓氏的拉丁字母排序；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2）姓名的英文书写一律“姓”全拼在前，“名”缩写在后，名缩写不加缩写点，“姓”首字母大写，其余小写；“名”只大写首字母，两缩写名间加空。外国人名中间有连字符的照加；中国人名中间不加连字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（3）责任者不超过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个时，全部著录；超过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个时，著录前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个责任者，其后加“，等”或与之相应的词，如“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, et al.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”；如遇到无责任者或责任者情况不明的文献时，责任者项应该注明“实施单位名称”或“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Anon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（4）西文期刊文献题目中首词和专有名词的首字母大写，其余一律小写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（5）文献名称后标注文献类型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期刊为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[J]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，学位论文为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[D]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，书籍专著为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[M]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，报告为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[R]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，论文集为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[C]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，标准为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[S]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，汇编为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[G]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（6）书籍专著要标注出版地和出版社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博士毕业论文要标注出版地和学校名称。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（7）从专著中析出的有独立著者、独立篇名的文献，析出文献与源文献的关系用“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//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”表示。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8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）中文参考文献题录要有对应的英文翻译。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480" w:right="0" w:hanging="48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注意：出版年前为“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,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”；采用著者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出版年制组织文献表的，“年”放到了题名前，对不设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卷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的期刊，“（期）”前同样不应加“，”。如：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480" w:right="0" w:hanging="48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2"/>
        </w:numPr>
        <w:autoSpaceDE/>
        <w:autoSpaceDN/>
        <w:ind w:left="0" w:leftChars="0" w:firstLine="0" w:firstLineChars="0"/>
        <w:jc w:val="left"/>
        <w:rPr>
          <w:rStyle w:val="42"/>
          <w:rFonts w:hint="default" w:eastAsia="黑体" w:cs="Times New Roman"/>
          <w:b/>
          <w:i w:val="0"/>
          <w:kern w:val="2"/>
          <w:sz w:val="28"/>
          <w:szCs w:val="28"/>
          <w:lang w:val="en-US" w:eastAsia="zh-CN"/>
        </w:rPr>
      </w:pPr>
      <w:r>
        <w:rPr>
          <w:rStyle w:val="42"/>
          <w:rFonts w:hint="eastAsia" w:eastAsia="黑体" w:cs="Times New Roman"/>
          <w:b/>
          <w:i w:val="0"/>
          <w:kern w:val="2"/>
          <w:sz w:val="28"/>
          <w:szCs w:val="28"/>
          <w:lang w:val="en-US" w:eastAsia="zh-CN"/>
        </w:rPr>
        <w:t>关于</w:t>
      </w:r>
      <w:r>
        <w:rPr>
          <w:rStyle w:val="42"/>
          <w:rFonts w:hint="default" w:eastAsia="黑体" w:cs="Times New Roman"/>
          <w:b/>
          <w:i w:val="0"/>
          <w:kern w:val="2"/>
          <w:sz w:val="28"/>
          <w:szCs w:val="28"/>
          <w:lang w:val="en-US" w:eastAsia="zh-CN"/>
        </w:rPr>
        <w:t>量和单位的说明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量和单位的使用请参照国家法定计量单位最新标准（GB 310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1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>—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93），采用国际单位制（SI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单位）。特别注意的是以下修改：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（1）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ppm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→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10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 w:bidi="ar"/>
        </w:rPr>
        <w:t>－6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（2）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MnO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的质量分数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为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30%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→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1"/>
          <w:szCs w:val="21"/>
          <w:lang w:val="en-US" w:eastAsia="zh-CN" w:bidi="ar"/>
        </w:rPr>
        <w:t>w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(MnO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)=30%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eastAsia"/>
          <w:sz w:val="21"/>
          <w:szCs w:val="21"/>
          <w:lang w:val="en-US" w:eastAsia="zh-CN"/>
        </w:rPr>
      </w:pP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>（3）石英的含量为 5~14 %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→</w:t>
      </w:r>
      <w:r>
        <w:rPr>
          <w:rFonts w:ascii="Times New Roman" w:hAnsi="Times New Roman"/>
          <w:sz w:val="21"/>
          <w:szCs w:val="21"/>
        </w:rPr>
        <w:t>5%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~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44%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即%、‰是不可以省略的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default"/>
          <w:sz w:val="21"/>
          <w:szCs w:val="21"/>
          <w:lang w:val="en-US"/>
        </w:rPr>
      </w:pP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（4）地层厚度为 3.8 m~5.6 m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→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  3.8 ~ 5.6 m，其他类型的单位如 m、℃、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Ω∙m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>是可以省略一个的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>（5）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26°C→26℃;30°～36°C→30～36℃;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>此外，需要注意的是，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年代学范围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>具有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硬性要求，比如248～280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Ma，应该统一老的在前、新的在后，改为280～248Ma</w:t>
      </w:r>
      <w:r>
        <w:rPr>
          <w:rFonts w:hint="eastAsia" w:cs="Times New Roman"/>
          <w:color w:val="000000"/>
          <w:kern w:val="0"/>
          <w:sz w:val="21"/>
          <w:szCs w:val="21"/>
          <w:lang w:val="en-US" w:eastAsia="zh-CN" w:bidi="ar"/>
        </w:rPr>
        <w:t>。</w:t>
      </w:r>
    </w:p>
    <w:p>
      <w:pPr>
        <w:snapToGrid/>
        <w:spacing w:line="240" w:lineRule="auto"/>
        <w:ind w:left="0" w:leftChars="0" w:firstLine="720" w:firstLineChars="0"/>
        <w:jc w:val="left"/>
        <w:outlineLvl w:val="1"/>
        <w:rPr>
          <w:rFonts w:hint="default" w:cs="Times New Roman"/>
          <w:color w:val="000000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2"/>
        </w:numPr>
        <w:autoSpaceDE/>
        <w:autoSpaceDN/>
        <w:ind w:left="0" w:leftChars="0" w:firstLine="0" w:firstLineChars="0"/>
        <w:jc w:val="left"/>
        <w:rPr>
          <w:rStyle w:val="42"/>
          <w:rFonts w:hint="default" w:eastAsia="黑体" w:cs="Times New Roman"/>
          <w:b/>
          <w:i w:val="0"/>
          <w:kern w:val="2"/>
          <w:sz w:val="28"/>
          <w:szCs w:val="28"/>
          <w:lang w:val="en-US" w:eastAsia="zh-CN"/>
        </w:rPr>
      </w:pPr>
      <w:r>
        <w:rPr>
          <w:rStyle w:val="42"/>
          <w:rFonts w:hint="eastAsia" w:eastAsia="黑体" w:cs="Times New Roman"/>
          <w:b/>
          <w:i w:val="0"/>
          <w:kern w:val="2"/>
          <w:sz w:val="28"/>
          <w:szCs w:val="28"/>
          <w:lang w:val="en-US" w:eastAsia="zh-CN"/>
        </w:rPr>
        <w:t>关于图的要求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）插图全文依序编号，方式如“图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”“图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”；分图使用字母编号，分图图名要在图注中标示出来。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）图幅中尽量不出现国界线。如必须出现地图版图，地图插图应维护国家的统一、主权和领土完整，维护民族尊严和民族团结，保障国家安全和利益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。出版前应报送国家测绘地理信息管理部门审核批准。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地图插图应符合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GB/T 1996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的相关规定。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）坐标曲线图的坐标轴、标值线的画法应规范，标目、标值、坐标原点应标注完整、规范、统一。标注居中排印在坐标轴和标值的外侧，形式应用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量的符号或名称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单位符号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）论文插图矢量文件要求：半栏图图幅宽度控制在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80 mm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以内，全栏图的图幅宽度小于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16</w:t>
      </w:r>
      <w:r>
        <w:rPr>
          <w:rFonts w:hint="eastAsia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0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 xml:space="preserve"> mm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；字号一般为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8 pt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，若出现不同的构造分级，可以使用不同字体、字号表示，字体大小在</w:t>
      </w:r>
      <w:r>
        <w:rPr>
          <w:rFonts w:hint="eastAsia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～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10 pt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之间；西文字体选择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Times New Roman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，中文字体一般选择宋体；坐标图注意横纵坐标的单位。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）若作者无</w:t>
      </w:r>
      <w:r>
        <w:rPr>
          <w:rFonts w:hint="eastAsia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 xml:space="preserve">pdf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矢量文件，必须为编辑部提供分辨率不能低于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300dpi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的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tiff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格式文件，或者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EPS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格式文件，并且配合编辑修改图件。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（6）图中出现的数值，必须给出对应的单位，且要给出图例或图注说明其含义。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2"/>
        </w:numPr>
        <w:autoSpaceDE/>
        <w:autoSpaceDN/>
        <w:ind w:left="0" w:leftChars="0" w:firstLine="0" w:firstLineChars="0"/>
        <w:jc w:val="left"/>
        <w:rPr>
          <w:rStyle w:val="42"/>
          <w:rFonts w:hint="default" w:eastAsia="黑体" w:cs="Times New Roman"/>
          <w:b/>
          <w:i w:val="0"/>
          <w:kern w:val="2"/>
          <w:sz w:val="28"/>
          <w:szCs w:val="28"/>
          <w:lang w:val="en-US" w:eastAsia="zh-CN"/>
        </w:rPr>
      </w:pPr>
      <w:r>
        <w:rPr>
          <w:rStyle w:val="42"/>
          <w:rFonts w:hint="eastAsia" w:eastAsia="黑体" w:cs="Times New Roman"/>
          <w:b/>
          <w:i w:val="0"/>
          <w:kern w:val="2"/>
          <w:sz w:val="28"/>
          <w:szCs w:val="28"/>
          <w:lang w:val="en-US" w:eastAsia="zh-CN"/>
        </w:rPr>
        <w:t>关于连接号的使用建议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地质类科技论文中常见的有4种连接符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，分别是：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default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英文短线“-”，仅用于西文字符之中。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default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半字线“</w:t>
      </w:r>
      <w:r>
        <w:rPr>
          <w:rFonts w:hint="eastAsia" w:hAnsi="宋体"/>
          <w:szCs w:val="21"/>
        </w:rPr>
        <w:t>－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”，占半个字符，含义为“与”“和”，用在两个名词之间，构成复合名词。例如“班公湖</w:t>
      </w:r>
      <w:r>
        <w:rPr>
          <w:rFonts w:hint="eastAsia" w:hAnsi="宋体"/>
          <w:szCs w:val="21"/>
        </w:rPr>
        <w:t>－</w:t>
      </w:r>
      <w:r>
        <w:rPr>
          <w:rFonts w:hint="eastAsia" w:hAnsi="宋体"/>
          <w:szCs w:val="21"/>
          <w:lang w:val="en-US" w:eastAsia="zh-CN"/>
        </w:rPr>
        <w:t>怒江成矿带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default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一字线“—”，占一个字符，含义为起止。例如，“分布在丽江—</w:t>
      </w:r>
      <w:r>
        <w:rPr>
          <w:rFonts w:hint="default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攀枝花—大理一带”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，“五峰组—龙马溪组地层”“志留纪—石炭纪”等。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360" w:lineRule="atLeast"/>
        <w:ind w:left="0" w:right="0" w:firstLine="480"/>
        <w:jc w:val="left"/>
        <w:rPr>
          <w:rFonts w:hint="default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波浪线“</w:t>
      </w:r>
      <w:r>
        <w:rPr>
          <w:rFonts w:ascii="E-BZ" w:hAnsi="E-BZ" w:eastAsia="E-BZ" w:cs="E-BZ"/>
          <w:color w:val="000000"/>
          <w:kern w:val="0"/>
          <w:sz w:val="20"/>
          <w:szCs w:val="20"/>
          <w:lang w:val="en-US" w:eastAsia="zh-CN" w:bidi="ar"/>
        </w:rPr>
        <w:t>～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”，占一个字符，仅用于数字的起止，以免与负号混淆。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</w:p>
  </w:endnote>
  <w:endnote w:type="continuationSeparator" w:id="1">
    <w:p>
      <w:pPr>
        <w:spacing w:line="240" w:lineRule="auto"/>
        <w:ind w:firstLine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HeitiStd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黑体简体.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ZKTK--GBK1-0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NEU-BZ-Italic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E-BZ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97744633"/>
    </w:sdtPr>
    <w:sdtContent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9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97386696"/>
    </w:sdtPr>
    <w:sdtContent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line="360" w:lineRule="auto"/>
        <w:ind w:firstLine="420"/>
      </w:pPr>
    </w:p>
  </w:footnote>
  <w:footnote w:type="continuationSeparator" w:id="3">
    <w:p>
      <w:pPr>
        <w:spacing w:line="360" w:lineRule="auto"/>
        <w:ind w:firstLine="420"/>
      </w:pPr>
    </w:p>
  </w:footnote>
  <w:footnote w:id="0">
    <w:p>
      <w:pPr>
        <w:pStyle w:val="11"/>
        <w:spacing w:line="240" w:lineRule="auto"/>
        <w:ind w:firstLine="0" w:firstLineChars="0"/>
        <w:rPr>
          <w:rFonts w:eastAsia="黑体" w:cs="Times New Roman"/>
          <w:b/>
          <w:bCs/>
        </w:rPr>
      </w:pPr>
      <w:r>
        <w:rPr>
          <w:rFonts w:eastAsia="黑体" w:cs="Times New Roman"/>
          <w:b/>
          <w:bCs/>
        </w:rPr>
        <w:t>收稿日期：2022-01-25     改回日期：2022-04-29</w:t>
      </w:r>
    </w:p>
    <w:p>
      <w:pPr>
        <w:pStyle w:val="11"/>
        <w:spacing w:line="240" w:lineRule="auto"/>
        <w:ind w:firstLine="0" w:firstLineChars="0"/>
        <w:rPr>
          <w:rFonts w:cs="Times New Roman"/>
        </w:rPr>
      </w:pPr>
      <w:r>
        <w:rPr>
          <w:rFonts w:eastAsia="黑体" w:cs="Times New Roman"/>
          <w:b/>
          <w:bCs/>
        </w:rPr>
        <w:t>作者简介</w:t>
      </w:r>
      <w:r>
        <w:rPr>
          <w:rFonts w:cs="Times New Roman"/>
        </w:rPr>
        <w:t>：XXXX（1984—），</w:t>
      </w:r>
      <w:r>
        <w:rPr>
          <w:rFonts w:hint="eastAsia" w:cs="Times New Roman"/>
        </w:rPr>
        <w:t>男</w:t>
      </w:r>
      <w:r>
        <w:rPr>
          <w:rFonts w:cs="Times New Roman"/>
        </w:rPr>
        <w:t>，高级工程师，主要从事页岩油气综合地质研究工作。E-mail：</w:t>
      </w:r>
      <w:r>
        <w:fldChar w:fldCharType="begin"/>
      </w:r>
      <w:r>
        <w:instrText xml:space="preserve"> HYPERLINK "mailto:393464926@qq.com" </w:instrText>
      </w:r>
      <w:r>
        <w:fldChar w:fldCharType="separate"/>
      </w:r>
      <w:r>
        <w:rPr>
          <w:rStyle w:val="18"/>
          <w:rFonts w:cs="Times New Roman"/>
        </w:rPr>
        <w:t>XXXXXXX@qq.com</w:t>
      </w:r>
      <w:r>
        <w:rPr>
          <w:rStyle w:val="18"/>
          <w:rFonts w:cs="Times New Roman"/>
        </w:rPr>
        <w:fldChar w:fldCharType="end"/>
      </w:r>
    </w:p>
    <w:p>
      <w:pPr>
        <w:pStyle w:val="11"/>
        <w:spacing w:line="240" w:lineRule="auto"/>
        <w:ind w:firstLine="0" w:firstLineChars="0"/>
        <w:rPr>
          <w:rFonts w:cs="Times New Roman"/>
        </w:rPr>
      </w:pPr>
      <w:r>
        <w:rPr>
          <w:rFonts w:eastAsia="黑体" w:cs="Times New Roman"/>
          <w:b/>
          <w:bCs/>
        </w:rPr>
        <w:t>通讯作者：</w:t>
      </w:r>
      <w:r>
        <w:rPr>
          <w:rFonts w:eastAsia="黑体" w:cs="Times New Roman"/>
        </w:rPr>
        <w:t>XXXX</w:t>
      </w:r>
      <w:r>
        <w:rPr>
          <w:rFonts w:cs="Times New Roman"/>
        </w:rPr>
        <w:t>（1982—），</w:t>
      </w:r>
      <w:r>
        <w:rPr>
          <w:rFonts w:hint="eastAsia" w:cs="Times New Roman"/>
        </w:rPr>
        <w:t>女，教授</w:t>
      </w:r>
      <w:r>
        <w:rPr>
          <w:rFonts w:cs="Times New Roman"/>
        </w:rPr>
        <w:t>，主要从事致密油气勘探开发工作。E-mail：</w:t>
      </w:r>
      <w:r>
        <w:fldChar w:fldCharType="begin"/>
      </w:r>
      <w:r>
        <w:instrText xml:space="preserve"> HYPERLINK "mailto:393464926@qq.com" </w:instrText>
      </w:r>
      <w:r>
        <w:fldChar w:fldCharType="separate"/>
      </w:r>
      <w:r>
        <w:rPr>
          <w:rStyle w:val="18"/>
          <w:rFonts w:cs="Times New Roman"/>
        </w:rPr>
        <w:t>XXXXXXX@qq.com</w:t>
      </w:r>
      <w:r>
        <w:rPr>
          <w:rStyle w:val="18"/>
          <w:rFonts w:cs="Times New Roman"/>
        </w:rPr>
        <w:fldChar w:fldCharType="end"/>
      </w:r>
    </w:p>
    <w:p>
      <w:pPr>
        <w:pStyle w:val="11"/>
        <w:spacing w:line="240" w:lineRule="auto"/>
        <w:ind w:firstLine="0" w:firstLineChars="0"/>
        <w:rPr>
          <w:rFonts w:cs="Times New Roman"/>
        </w:rPr>
      </w:pPr>
      <w:r>
        <w:rPr>
          <w:rFonts w:eastAsia="黑体" w:cs="Times New Roman"/>
          <w:b/>
          <w:bCs/>
        </w:rPr>
        <w:t>资助项目</w:t>
      </w:r>
      <w:r>
        <w:rPr>
          <w:rFonts w:cs="Times New Roman"/>
        </w:rPr>
        <w:t>：国家自然科学基金（417XXXX）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w:rPr>
        <w:rFonts w:hint="eastAsia"/>
      </w:rP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957F9E"/>
    <w:multiLevelType w:val="singleLevel"/>
    <w:tmpl w:val="A1957F9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516F5A7"/>
    <w:multiLevelType w:val="singleLevel"/>
    <w:tmpl w:val="2516F5A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41EB46C"/>
    <w:multiLevelType w:val="singleLevel"/>
    <w:tmpl w:val="341EB46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05"/>
  <w:displayHorizontalDrawingGridEvery w:val="1"/>
  <w:displayVerticalDrawingGridEvery w:val="1"/>
  <w:noPunctuationKerning w:val="1"/>
  <w:characterSpacingControl w:val="doNotCompress"/>
  <w:footnotePr>
    <w:footnote w:id="2"/>
    <w:footnote w:id="3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FiZGFkNDczN2Y2YjExMGRiMjIyYjM4YzljMDYxM2MifQ=="/>
  </w:docVars>
  <w:rsids>
    <w:rsidRoot w:val="00172A27"/>
    <w:rsid w:val="00003638"/>
    <w:rsid w:val="0000676D"/>
    <w:rsid w:val="00006AB2"/>
    <w:rsid w:val="00011A72"/>
    <w:rsid w:val="00011B47"/>
    <w:rsid w:val="0002004A"/>
    <w:rsid w:val="00021901"/>
    <w:rsid w:val="0002486F"/>
    <w:rsid w:val="00025BF4"/>
    <w:rsid w:val="000305D1"/>
    <w:rsid w:val="000318EC"/>
    <w:rsid w:val="000323E3"/>
    <w:rsid w:val="000370B5"/>
    <w:rsid w:val="000377D9"/>
    <w:rsid w:val="00045AF2"/>
    <w:rsid w:val="00045EE9"/>
    <w:rsid w:val="000502A1"/>
    <w:rsid w:val="0006398A"/>
    <w:rsid w:val="000652B2"/>
    <w:rsid w:val="00071C74"/>
    <w:rsid w:val="00073E7D"/>
    <w:rsid w:val="00073F53"/>
    <w:rsid w:val="00080831"/>
    <w:rsid w:val="00084C27"/>
    <w:rsid w:val="000855AE"/>
    <w:rsid w:val="00087ED3"/>
    <w:rsid w:val="000909BC"/>
    <w:rsid w:val="00092494"/>
    <w:rsid w:val="000944D5"/>
    <w:rsid w:val="000955FC"/>
    <w:rsid w:val="000A5418"/>
    <w:rsid w:val="000A6053"/>
    <w:rsid w:val="000A791D"/>
    <w:rsid w:val="000B2FE8"/>
    <w:rsid w:val="000B3156"/>
    <w:rsid w:val="000B3927"/>
    <w:rsid w:val="000B3FC2"/>
    <w:rsid w:val="000B53B6"/>
    <w:rsid w:val="000C2315"/>
    <w:rsid w:val="000C4A40"/>
    <w:rsid w:val="000C4C33"/>
    <w:rsid w:val="000C6B52"/>
    <w:rsid w:val="000D57E4"/>
    <w:rsid w:val="000F024D"/>
    <w:rsid w:val="000F51B5"/>
    <w:rsid w:val="001064AA"/>
    <w:rsid w:val="00107C0E"/>
    <w:rsid w:val="00113FD2"/>
    <w:rsid w:val="00116F2F"/>
    <w:rsid w:val="00117605"/>
    <w:rsid w:val="001176E9"/>
    <w:rsid w:val="00127719"/>
    <w:rsid w:val="00132548"/>
    <w:rsid w:val="00136509"/>
    <w:rsid w:val="00141AD9"/>
    <w:rsid w:val="0014299C"/>
    <w:rsid w:val="00146138"/>
    <w:rsid w:val="00146EE0"/>
    <w:rsid w:val="00151370"/>
    <w:rsid w:val="00156D9C"/>
    <w:rsid w:val="00157DB8"/>
    <w:rsid w:val="00164B96"/>
    <w:rsid w:val="00165416"/>
    <w:rsid w:val="00165BB2"/>
    <w:rsid w:val="001719E2"/>
    <w:rsid w:val="00172A27"/>
    <w:rsid w:val="00172D4B"/>
    <w:rsid w:val="001870DC"/>
    <w:rsid w:val="00192513"/>
    <w:rsid w:val="00197A5F"/>
    <w:rsid w:val="001B31C6"/>
    <w:rsid w:val="001C2AF0"/>
    <w:rsid w:val="001C511A"/>
    <w:rsid w:val="001D10B0"/>
    <w:rsid w:val="001D61DA"/>
    <w:rsid w:val="001E6512"/>
    <w:rsid w:val="001F3C16"/>
    <w:rsid w:val="001F79E2"/>
    <w:rsid w:val="001F7D8D"/>
    <w:rsid w:val="00210660"/>
    <w:rsid w:val="00222220"/>
    <w:rsid w:val="00237795"/>
    <w:rsid w:val="00240AB2"/>
    <w:rsid w:val="00242671"/>
    <w:rsid w:val="002446B2"/>
    <w:rsid w:val="002451B8"/>
    <w:rsid w:val="00246078"/>
    <w:rsid w:val="00246A1F"/>
    <w:rsid w:val="0025415F"/>
    <w:rsid w:val="00255A06"/>
    <w:rsid w:val="002565C3"/>
    <w:rsid w:val="00256CE3"/>
    <w:rsid w:val="00270B85"/>
    <w:rsid w:val="00274C34"/>
    <w:rsid w:val="002770B0"/>
    <w:rsid w:val="0028192F"/>
    <w:rsid w:val="00281FDF"/>
    <w:rsid w:val="00283091"/>
    <w:rsid w:val="00285279"/>
    <w:rsid w:val="00292D6E"/>
    <w:rsid w:val="002973C5"/>
    <w:rsid w:val="002A0A8B"/>
    <w:rsid w:val="002A19C5"/>
    <w:rsid w:val="002A2AF5"/>
    <w:rsid w:val="002A4B67"/>
    <w:rsid w:val="002A6766"/>
    <w:rsid w:val="002A709D"/>
    <w:rsid w:val="002B44DA"/>
    <w:rsid w:val="002D37A0"/>
    <w:rsid w:val="002E7D45"/>
    <w:rsid w:val="003027A4"/>
    <w:rsid w:val="003036CF"/>
    <w:rsid w:val="00306E57"/>
    <w:rsid w:val="00307D26"/>
    <w:rsid w:val="00315F43"/>
    <w:rsid w:val="003160C6"/>
    <w:rsid w:val="00323B43"/>
    <w:rsid w:val="0033505E"/>
    <w:rsid w:val="00335325"/>
    <w:rsid w:val="00344FAE"/>
    <w:rsid w:val="00350B6B"/>
    <w:rsid w:val="0035260B"/>
    <w:rsid w:val="00360411"/>
    <w:rsid w:val="00374D52"/>
    <w:rsid w:val="00383A50"/>
    <w:rsid w:val="003907E0"/>
    <w:rsid w:val="00391016"/>
    <w:rsid w:val="00391803"/>
    <w:rsid w:val="0039225A"/>
    <w:rsid w:val="003937FB"/>
    <w:rsid w:val="00394EE0"/>
    <w:rsid w:val="00395681"/>
    <w:rsid w:val="003A4A32"/>
    <w:rsid w:val="003A4F22"/>
    <w:rsid w:val="003B1CF8"/>
    <w:rsid w:val="003C3C83"/>
    <w:rsid w:val="003C75C5"/>
    <w:rsid w:val="003D19D0"/>
    <w:rsid w:val="003D2BBB"/>
    <w:rsid w:val="003D37D8"/>
    <w:rsid w:val="003D418C"/>
    <w:rsid w:val="003D6226"/>
    <w:rsid w:val="003D6AC7"/>
    <w:rsid w:val="003E6A8C"/>
    <w:rsid w:val="00400FE7"/>
    <w:rsid w:val="004025D1"/>
    <w:rsid w:val="00402FCF"/>
    <w:rsid w:val="00407837"/>
    <w:rsid w:val="00407FAE"/>
    <w:rsid w:val="00412C80"/>
    <w:rsid w:val="0042077F"/>
    <w:rsid w:val="00426133"/>
    <w:rsid w:val="00430362"/>
    <w:rsid w:val="0043398A"/>
    <w:rsid w:val="004358AB"/>
    <w:rsid w:val="00436300"/>
    <w:rsid w:val="00437510"/>
    <w:rsid w:val="00440AE4"/>
    <w:rsid w:val="00442728"/>
    <w:rsid w:val="00443720"/>
    <w:rsid w:val="004524E3"/>
    <w:rsid w:val="00454FEF"/>
    <w:rsid w:val="00460CDD"/>
    <w:rsid w:val="00464321"/>
    <w:rsid w:val="00471AA4"/>
    <w:rsid w:val="0048163C"/>
    <w:rsid w:val="0048496B"/>
    <w:rsid w:val="00484CC9"/>
    <w:rsid w:val="00486192"/>
    <w:rsid w:val="00491498"/>
    <w:rsid w:val="0049152B"/>
    <w:rsid w:val="004A1D91"/>
    <w:rsid w:val="004A54D3"/>
    <w:rsid w:val="004B1FE5"/>
    <w:rsid w:val="004B5BE6"/>
    <w:rsid w:val="004B60CF"/>
    <w:rsid w:val="004B628C"/>
    <w:rsid w:val="004B7890"/>
    <w:rsid w:val="004C07A2"/>
    <w:rsid w:val="004C1BF1"/>
    <w:rsid w:val="004C42A9"/>
    <w:rsid w:val="004C65B9"/>
    <w:rsid w:val="004C7DA4"/>
    <w:rsid w:val="004D325C"/>
    <w:rsid w:val="004E2DAE"/>
    <w:rsid w:val="004E2EE8"/>
    <w:rsid w:val="004E3155"/>
    <w:rsid w:val="004E7D0D"/>
    <w:rsid w:val="004F1822"/>
    <w:rsid w:val="004F6674"/>
    <w:rsid w:val="00505D12"/>
    <w:rsid w:val="00507A0C"/>
    <w:rsid w:val="00507B3D"/>
    <w:rsid w:val="00512D08"/>
    <w:rsid w:val="00513230"/>
    <w:rsid w:val="005176E1"/>
    <w:rsid w:val="0052205C"/>
    <w:rsid w:val="00523D58"/>
    <w:rsid w:val="00523F47"/>
    <w:rsid w:val="005263E6"/>
    <w:rsid w:val="00527ED4"/>
    <w:rsid w:val="00534707"/>
    <w:rsid w:val="00535CA3"/>
    <w:rsid w:val="0053665A"/>
    <w:rsid w:val="00536B09"/>
    <w:rsid w:val="00541A6E"/>
    <w:rsid w:val="00554BEE"/>
    <w:rsid w:val="00563BCA"/>
    <w:rsid w:val="005665E3"/>
    <w:rsid w:val="00566CA9"/>
    <w:rsid w:val="00571512"/>
    <w:rsid w:val="00571BEC"/>
    <w:rsid w:val="00571FC1"/>
    <w:rsid w:val="005724D5"/>
    <w:rsid w:val="00576EB3"/>
    <w:rsid w:val="00583CE1"/>
    <w:rsid w:val="00594464"/>
    <w:rsid w:val="005A10AA"/>
    <w:rsid w:val="005A4787"/>
    <w:rsid w:val="005A6A76"/>
    <w:rsid w:val="005A783A"/>
    <w:rsid w:val="005B24BD"/>
    <w:rsid w:val="005B5CAD"/>
    <w:rsid w:val="005C5B79"/>
    <w:rsid w:val="005C7008"/>
    <w:rsid w:val="005D09A6"/>
    <w:rsid w:val="005D0C1F"/>
    <w:rsid w:val="005D305E"/>
    <w:rsid w:val="005D4955"/>
    <w:rsid w:val="005D65C7"/>
    <w:rsid w:val="005E193F"/>
    <w:rsid w:val="005E61A4"/>
    <w:rsid w:val="005E7340"/>
    <w:rsid w:val="005F09F5"/>
    <w:rsid w:val="00601251"/>
    <w:rsid w:val="00603477"/>
    <w:rsid w:val="006056F9"/>
    <w:rsid w:val="00607C69"/>
    <w:rsid w:val="0061505F"/>
    <w:rsid w:val="00625F9F"/>
    <w:rsid w:val="00643DD0"/>
    <w:rsid w:val="0064584D"/>
    <w:rsid w:val="00646F50"/>
    <w:rsid w:val="00654501"/>
    <w:rsid w:val="0066087F"/>
    <w:rsid w:val="00664504"/>
    <w:rsid w:val="0066665C"/>
    <w:rsid w:val="006670DC"/>
    <w:rsid w:val="00676C37"/>
    <w:rsid w:val="00677E4C"/>
    <w:rsid w:val="00681CCB"/>
    <w:rsid w:val="00690526"/>
    <w:rsid w:val="0069079A"/>
    <w:rsid w:val="006922D7"/>
    <w:rsid w:val="00695A26"/>
    <w:rsid w:val="006969B5"/>
    <w:rsid w:val="006A6054"/>
    <w:rsid w:val="006B132B"/>
    <w:rsid w:val="006B3C0C"/>
    <w:rsid w:val="006B52B8"/>
    <w:rsid w:val="006C2438"/>
    <w:rsid w:val="006C5D38"/>
    <w:rsid w:val="006D0105"/>
    <w:rsid w:val="006D0C67"/>
    <w:rsid w:val="006D2AE8"/>
    <w:rsid w:val="006D339A"/>
    <w:rsid w:val="006E2222"/>
    <w:rsid w:val="006E61FD"/>
    <w:rsid w:val="006E63EB"/>
    <w:rsid w:val="006E7185"/>
    <w:rsid w:val="006F0727"/>
    <w:rsid w:val="006F1DD8"/>
    <w:rsid w:val="006F2277"/>
    <w:rsid w:val="006F4F13"/>
    <w:rsid w:val="006F5A0F"/>
    <w:rsid w:val="00700ADD"/>
    <w:rsid w:val="00701DAE"/>
    <w:rsid w:val="00703E2A"/>
    <w:rsid w:val="00704B14"/>
    <w:rsid w:val="00715825"/>
    <w:rsid w:val="0072287A"/>
    <w:rsid w:val="00731BC3"/>
    <w:rsid w:val="00733373"/>
    <w:rsid w:val="007336D7"/>
    <w:rsid w:val="00736B81"/>
    <w:rsid w:val="00743A7A"/>
    <w:rsid w:val="00750391"/>
    <w:rsid w:val="007504E4"/>
    <w:rsid w:val="00750FFB"/>
    <w:rsid w:val="00753A08"/>
    <w:rsid w:val="007600D2"/>
    <w:rsid w:val="00761976"/>
    <w:rsid w:val="00762B4D"/>
    <w:rsid w:val="00763060"/>
    <w:rsid w:val="007644E8"/>
    <w:rsid w:val="00765EA5"/>
    <w:rsid w:val="00771B66"/>
    <w:rsid w:val="00774ED4"/>
    <w:rsid w:val="007761C0"/>
    <w:rsid w:val="0079550C"/>
    <w:rsid w:val="007958F5"/>
    <w:rsid w:val="00796E38"/>
    <w:rsid w:val="007A109A"/>
    <w:rsid w:val="007A1D68"/>
    <w:rsid w:val="007C3782"/>
    <w:rsid w:val="007D71F9"/>
    <w:rsid w:val="007F202E"/>
    <w:rsid w:val="007F304C"/>
    <w:rsid w:val="008009DA"/>
    <w:rsid w:val="0080545F"/>
    <w:rsid w:val="008111AA"/>
    <w:rsid w:val="00817813"/>
    <w:rsid w:val="00833198"/>
    <w:rsid w:val="0083322D"/>
    <w:rsid w:val="0083609D"/>
    <w:rsid w:val="00836CF7"/>
    <w:rsid w:val="008403AD"/>
    <w:rsid w:val="00841EB9"/>
    <w:rsid w:val="00843128"/>
    <w:rsid w:val="00843766"/>
    <w:rsid w:val="00846EEF"/>
    <w:rsid w:val="00850994"/>
    <w:rsid w:val="00856FA7"/>
    <w:rsid w:val="008657B3"/>
    <w:rsid w:val="00866D25"/>
    <w:rsid w:val="00880907"/>
    <w:rsid w:val="00885210"/>
    <w:rsid w:val="00886AEE"/>
    <w:rsid w:val="00887BD8"/>
    <w:rsid w:val="008922DA"/>
    <w:rsid w:val="00893A28"/>
    <w:rsid w:val="00897B6F"/>
    <w:rsid w:val="008A018A"/>
    <w:rsid w:val="008A01DA"/>
    <w:rsid w:val="008A1A1B"/>
    <w:rsid w:val="008A5EC5"/>
    <w:rsid w:val="008B3D11"/>
    <w:rsid w:val="008B6A8C"/>
    <w:rsid w:val="008B7726"/>
    <w:rsid w:val="008C443C"/>
    <w:rsid w:val="008C4DD2"/>
    <w:rsid w:val="008C5621"/>
    <w:rsid w:val="008C7D3C"/>
    <w:rsid w:val="008D07EB"/>
    <w:rsid w:val="008D3407"/>
    <w:rsid w:val="008D5D41"/>
    <w:rsid w:val="008E29A8"/>
    <w:rsid w:val="008E78D4"/>
    <w:rsid w:val="008F0402"/>
    <w:rsid w:val="00903260"/>
    <w:rsid w:val="00903D51"/>
    <w:rsid w:val="00904E33"/>
    <w:rsid w:val="00910798"/>
    <w:rsid w:val="009136B1"/>
    <w:rsid w:val="00914ECA"/>
    <w:rsid w:val="009170D5"/>
    <w:rsid w:val="00923715"/>
    <w:rsid w:val="00926326"/>
    <w:rsid w:val="009301F9"/>
    <w:rsid w:val="00931E5C"/>
    <w:rsid w:val="009325D8"/>
    <w:rsid w:val="009326E6"/>
    <w:rsid w:val="00937C89"/>
    <w:rsid w:val="009461B9"/>
    <w:rsid w:val="0094653F"/>
    <w:rsid w:val="00955313"/>
    <w:rsid w:val="00960301"/>
    <w:rsid w:val="009656DA"/>
    <w:rsid w:val="009675FD"/>
    <w:rsid w:val="009707BB"/>
    <w:rsid w:val="0097473F"/>
    <w:rsid w:val="00977715"/>
    <w:rsid w:val="00982B47"/>
    <w:rsid w:val="00990D54"/>
    <w:rsid w:val="00991573"/>
    <w:rsid w:val="0099218B"/>
    <w:rsid w:val="00997041"/>
    <w:rsid w:val="009A2929"/>
    <w:rsid w:val="009A4556"/>
    <w:rsid w:val="009A5849"/>
    <w:rsid w:val="009A72AB"/>
    <w:rsid w:val="009B00D9"/>
    <w:rsid w:val="009B55A7"/>
    <w:rsid w:val="009B5907"/>
    <w:rsid w:val="009C1ED2"/>
    <w:rsid w:val="009C2063"/>
    <w:rsid w:val="009C75F6"/>
    <w:rsid w:val="009D2AFB"/>
    <w:rsid w:val="009E1280"/>
    <w:rsid w:val="009E3D64"/>
    <w:rsid w:val="00A0115E"/>
    <w:rsid w:val="00A01172"/>
    <w:rsid w:val="00A012E7"/>
    <w:rsid w:val="00A04637"/>
    <w:rsid w:val="00A0532C"/>
    <w:rsid w:val="00A27081"/>
    <w:rsid w:val="00A307A2"/>
    <w:rsid w:val="00A35F88"/>
    <w:rsid w:val="00A406A3"/>
    <w:rsid w:val="00A42167"/>
    <w:rsid w:val="00A44BEA"/>
    <w:rsid w:val="00A44FB7"/>
    <w:rsid w:val="00A47325"/>
    <w:rsid w:val="00A50D21"/>
    <w:rsid w:val="00A52B7B"/>
    <w:rsid w:val="00A65ED6"/>
    <w:rsid w:val="00A662F6"/>
    <w:rsid w:val="00A752D6"/>
    <w:rsid w:val="00A75BEF"/>
    <w:rsid w:val="00A760D0"/>
    <w:rsid w:val="00A820A4"/>
    <w:rsid w:val="00A82441"/>
    <w:rsid w:val="00A85D24"/>
    <w:rsid w:val="00A8727A"/>
    <w:rsid w:val="00A91546"/>
    <w:rsid w:val="00A9390D"/>
    <w:rsid w:val="00AA0DAB"/>
    <w:rsid w:val="00AA1A8E"/>
    <w:rsid w:val="00AB2C87"/>
    <w:rsid w:val="00AB314E"/>
    <w:rsid w:val="00AB5D50"/>
    <w:rsid w:val="00AB70D0"/>
    <w:rsid w:val="00AD131E"/>
    <w:rsid w:val="00AD4974"/>
    <w:rsid w:val="00AD627E"/>
    <w:rsid w:val="00AD6D06"/>
    <w:rsid w:val="00AD6F98"/>
    <w:rsid w:val="00AE0DAA"/>
    <w:rsid w:val="00AF071E"/>
    <w:rsid w:val="00AF09D3"/>
    <w:rsid w:val="00AF50E9"/>
    <w:rsid w:val="00B04524"/>
    <w:rsid w:val="00B06F3E"/>
    <w:rsid w:val="00B13C01"/>
    <w:rsid w:val="00B15FB8"/>
    <w:rsid w:val="00B26458"/>
    <w:rsid w:val="00B379F3"/>
    <w:rsid w:val="00B43927"/>
    <w:rsid w:val="00B43E1A"/>
    <w:rsid w:val="00B47C07"/>
    <w:rsid w:val="00B55B0E"/>
    <w:rsid w:val="00B5795A"/>
    <w:rsid w:val="00B6001E"/>
    <w:rsid w:val="00B632E4"/>
    <w:rsid w:val="00B63ACE"/>
    <w:rsid w:val="00B668AB"/>
    <w:rsid w:val="00B66B30"/>
    <w:rsid w:val="00B6715D"/>
    <w:rsid w:val="00B81943"/>
    <w:rsid w:val="00B822E5"/>
    <w:rsid w:val="00B83137"/>
    <w:rsid w:val="00B86FB7"/>
    <w:rsid w:val="00B925EA"/>
    <w:rsid w:val="00B92888"/>
    <w:rsid w:val="00B94EC2"/>
    <w:rsid w:val="00BA17A2"/>
    <w:rsid w:val="00BA2B7E"/>
    <w:rsid w:val="00BA48AC"/>
    <w:rsid w:val="00BB0EE8"/>
    <w:rsid w:val="00BB6F19"/>
    <w:rsid w:val="00BB7090"/>
    <w:rsid w:val="00BC236D"/>
    <w:rsid w:val="00BC46BD"/>
    <w:rsid w:val="00BC4DAA"/>
    <w:rsid w:val="00BC5020"/>
    <w:rsid w:val="00BD0B90"/>
    <w:rsid w:val="00BD679C"/>
    <w:rsid w:val="00BE4FA0"/>
    <w:rsid w:val="00BF1553"/>
    <w:rsid w:val="00BF3C30"/>
    <w:rsid w:val="00BF424D"/>
    <w:rsid w:val="00BF7012"/>
    <w:rsid w:val="00C240D8"/>
    <w:rsid w:val="00C24E47"/>
    <w:rsid w:val="00C25598"/>
    <w:rsid w:val="00C32F38"/>
    <w:rsid w:val="00C33F4D"/>
    <w:rsid w:val="00C34220"/>
    <w:rsid w:val="00C3570D"/>
    <w:rsid w:val="00C367E1"/>
    <w:rsid w:val="00C3739C"/>
    <w:rsid w:val="00C40276"/>
    <w:rsid w:val="00C4060A"/>
    <w:rsid w:val="00C466B5"/>
    <w:rsid w:val="00C5614B"/>
    <w:rsid w:val="00C63D04"/>
    <w:rsid w:val="00C64D96"/>
    <w:rsid w:val="00C66F6D"/>
    <w:rsid w:val="00C70391"/>
    <w:rsid w:val="00C70739"/>
    <w:rsid w:val="00C7649E"/>
    <w:rsid w:val="00C8732F"/>
    <w:rsid w:val="00C90A6A"/>
    <w:rsid w:val="00C935AD"/>
    <w:rsid w:val="00CA0093"/>
    <w:rsid w:val="00CB076F"/>
    <w:rsid w:val="00CB22B3"/>
    <w:rsid w:val="00CB3C1B"/>
    <w:rsid w:val="00CB5EC6"/>
    <w:rsid w:val="00CC06CD"/>
    <w:rsid w:val="00CC0BD2"/>
    <w:rsid w:val="00CC0BF0"/>
    <w:rsid w:val="00CC12EB"/>
    <w:rsid w:val="00CC384F"/>
    <w:rsid w:val="00CD44DF"/>
    <w:rsid w:val="00CD452F"/>
    <w:rsid w:val="00CE5E98"/>
    <w:rsid w:val="00CE6165"/>
    <w:rsid w:val="00CE784D"/>
    <w:rsid w:val="00CF0588"/>
    <w:rsid w:val="00CF4AF4"/>
    <w:rsid w:val="00CF51A7"/>
    <w:rsid w:val="00CF523D"/>
    <w:rsid w:val="00CF524D"/>
    <w:rsid w:val="00CF713E"/>
    <w:rsid w:val="00D01E48"/>
    <w:rsid w:val="00D11D97"/>
    <w:rsid w:val="00D13FA8"/>
    <w:rsid w:val="00D16D7E"/>
    <w:rsid w:val="00D17C27"/>
    <w:rsid w:val="00D261DD"/>
    <w:rsid w:val="00D264A9"/>
    <w:rsid w:val="00D31D50"/>
    <w:rsid w:val="00D33482"/>
    <w:rsid w:val="00D33507"/>
    <w:rsid w:val="00D3643E"/>
    <w:rsid w:val="00D3787B"/>
    <w:rsid w:val="00D511E3"/>
    <w:rsid w:val="00D52F39"/>
    <w:rsid w:val="00D57ADF"/>
    <w:rsid w:val="00D57C78"/>
    <w:rsid w:val="00D62824"/>
    <w:rsid w:val="00D66475"/>
    <w:rsid w:val="00D66509"/>
    <w:rsid w:val="00D74876"/>
    <w:rsid w:val="00D7630F"/>
    <w:rsid w:val="00D8347E"/>
    <w:rsid w:val="00D83725"/>
    <w:rsid w:val="00DA0F3B"/>
    <w:rsid w:val="00DB0026"/>
    <w:rsid w:val="00DB006B"/>
    <w:rsid w:val="00DB1D0B"/>
    <w:rsid w:val="00DB70C8"/>
    <w:rsid w:val="00DC0360"/>
    <w:rsid w:val="00DC0F6D"/>
    <w:rsid w:val="00DD000B"/>
    <w:rsid w:val="00DD20D8"/>
    <w:rsid w:val="00DD2DC6"/>
    <w:rsid w:val="00DD388F"/>
    <w:rsid w:val="00DD6730"/>
    <w:rsid w:val="00DE355C"/>
    <w:rsid w:val="00DE56DD"/>
    <w:rsid w:val="00DE7A21"/>
    <w:rsid w:val="00E029C0"/>
    <w:rsid w:val="00E03C54"/>
    <w:rsid w:val="00E0573B"/>
    <w:rsid w:val="00E0630F"/>
    <w:rsid w:val="00E070E3"/>
    <w:rsid w:val="00E12D00"/>
    <w:rsid w:val="00E13D11"/>
    <w:rsid w:val="00E15C7B"/>
    <w:rsid w:val="00E16465"/>
    <w:rsid w:val="00E21092"/>
    <w:rsid w:val="00E2262E"/>
    <w:rsid w:val="00E2303C"/>
    <w:rsid w:val="00E236E9"/>
    <w:rsid w:val="00E23C4A"/>
    <w:rsid w:val="00E242A5"/>
    <w:rsid w:val="00E24DBF"/>
    <w:rsid w:val="00E27DBA"/>
    <w:rsid w:val="00E30DD0"/>
    <w:rsid w:val="00E31D86"/>
    <w:rsid w:val="00E37981"/>
    <w:rsid w:val="00E41F3E"/>
    <w:rsid w:val="00E43466"/>
    <w:rsid w:val="00E50354"/>
    <w:rsid w:val="00E55C1D"/>
    <w:rsid w:val="00E56B1E"/>
    <w:rsid w:val="00E613E3"/>
    <w:rsid w:val="00E62907"/>
    <w:rsid w:val="00E66080"/>
    <w:rsid w:val="00E66AD3"/>
    <w:rsid w:val="00E73ADC"/>
    <w:rsid w:val="00E74733"/>
    <w:rsid w:val="00E75424"/>
    <w:rsid w:val="00E82D91"/>
    <w:rsid w:val="00E90F56"/>
    <w:rsid w:val="00E91952"/>
    <w:rsid w:val="00E91A68"/>
    <w:rsid w:val="00E964EC"/>
    <w:rsid w:val="00EA0578"/>
    <w:rsid w:val="00EA085F"/>
    <w:rsid w:val="00EA4B8E"/>
    <w:rsid w:val="00EA5BC3"/>
    <w:rsid w:val="00EA61E1"/>
    <w:rsid w:val="00EA6319"/>
    <w:rsid w:val="00EA7122"/>
    <w:rsid w:val="00EA7D9A"/>
    <w:rsid w:val="00EB1165"/>
    <w:rsid w:val="00EC0ABA"/>
    <w:rsid w:val="00EC46E8"/>
    <w:rsid w:val="00EC6405"/>
    <w:rsid w:val="00EC65E6"/>
    <w:rsid w:val="00ED06EA"/>
    <w:rsid w:val="00ED5BD4"/>
    <w:rsid w:val="00EE1A72"/>
    <w:rsid w:val="00EE2CAC"/>
    <w:rsid w:val="00EE3254"/>
    <w:rsid w:val="00EE5F0E"/>
    <w:rsid w:val="00EF7A4B"/>
    <w:rsid w:val="00F0748B"/>
    <w:rsid w:val="00F1128E"/>
    <w:rsid w:val="00F12957"/>
    <w:rsid w:val="00F26A1F"/>
    <w:rsid w:val="00F330C7"/>
    <w:rsid w:val="00F336D7"/>
    <w:rsid w:val="00F36911"/>
    <w:rsid w:val="00F40610"/>
    <w:rsid w:val="00F41CE0"/>
    <w:rsid w:val="00F524C0"/>
    <w:rsid w:val="00F55E96"/>
    <w:rsid w:val="00F62C1F"/>
    <w:rsid w:val="00F7032D"/>
    <w:rsid w:val="00F710F7"/>
    <w:rsid w:val="00F72E15"/>
    <w:rsid w:val="00F72E94"/>
    <w:rsid w:val="00F81DBF"/>
    <w:rsid w:val="00F8475E"/>
    <w:rsid w:val="00F853EB"/>
    <w:rsid w:val="00F91A64"/>
    <w:rsid w:val="00F9245C"/>
    <w:rsid w:val="00FA05B1"/>
    <w:rsid w:val="00FA0CD9"/>
    <w:rsid w:val="00FA10EF"/>
    <w:rsid w:val="00FA23C1"/>
    <w:rsid w:val="00FA65C0"/>
    <w:rsid w:val="00FA77D8"/>
    <w:rsid w:val="00FB0E73"/>
    <w:rsid w:val="00FB36B5"/>
    <w:rsid w:val="00FB613B"/>
    <w:rsid w:val="00FB6A79"/>
    <w:rsid w:val="00FC358D"/>
    <w:rsid w:val="00FC4C33"/>
    <w:rsid w:val="00FD0B10"/>
    <w:rsid w:val="00FD3785"/>
    <w:rsid w:val="00FD39E8"/>
    <w:rsid w:val="00FD63AE"/>
    <w:rsid w:val="00FE2D51"/>
    <w:rsid w:val="00FE6B55"/>
    <w:rsid w:val="00FE7E87"/>
    <w:rsid w:val="00FF472D"/>
    <w:rsid w:val="05A65783"/>
    <w:rsid w:val="063A0E3A"/>
    <w:rsid w:val="07066BB2"/>
    <w:rsid w:val="07D80969"/>
    <w:rsid w:val="083B283F"/>
    <w:rsid w:val="0970184A"/>
    <w:rsid w:val="0A8807A2"/>
    <w:rsid w:val="0AF15240"/>
    <w:rsid w:val="0B7B0D4A"/>
    <w:rsid w:val="0BB06C24"/>
    <w:rsid w:val="131E7219"/>
    <w:rsid w:val="1457167D"/>
    <w:rsid w:val="180706BC"/>
    <w:rsid w:val="191D6B27"/>
    <w:rsid w:val="1AFE751F"/>
    <w:rsid w:val="1DD737EE"/>
    <w:rsid w:val="1E7740C9"/>
    <w:rsid w:val="1F5C753F"/>
    <w:rsid w:val="20392B17"/>
    <w:rsid w:val="2082536F"/>
    <w:rsid w:val="2180333F"/>
    <w:rsid w:val="220763E9"/>
    <w:rsid w:val="22517954"/>
    <w:rsid w:val="242C51BC"/>
    <w:rsid w:val="27933014"/>
    <w:rsid w:val="27B177FC"/>
    <w:rsid w:val="283A45D3"/>
    <w:rsid w:val="28D63258"/>
    <w:rsid w:val="29B23052"/>
    <w:rsid w:val="29F315E2"/>
    <w:rsid w:val="2A4E332F"/>
    <w:rsid w:val="2A8B707D"/>
    <w:rsid w:val="2AAA6F2A"/>
    <w:rsid w:val="2B3B3167"/>
    <w:rsid w:val="2C440FF7"/>
    <w:rsid w:val="305C7B5E"/>
    <w:rsid w:val="31971372"/>
    <w:rsid w:val="32065607"/>
    <w:rsid w:val="35E76F49"/>
    <w:rsid w:val="36130E71"/>
    <w:rsid w:val="38AF14EA"/>
    <w:rsid w:val="396013CC"/>
    <w:rsid w:val="39A46823"/>
    <w:rsid w:val="39B347B2"/>
    <w:rsid w:val="3AA94B12"/>
    <w:rsid w:val="3B992F04"/>
    <w:rsid w:val="3C5215C0"/>
    <w:rsid w:val="3C565084"/>
    <w:rsid w:val="3FE26918"/>
    <w:rsid w:val="40C55765"/>
    <w:rsid w:val="46D1640A"/>
    <w:rsid w:val="46FC3533"/>
    <w:rsid w:val="4884376C"/>
    <w:rsid w:val="49094305"/>
    <w:rsid w:val="490C0D27"/>
    <w:rsid w:val="49531E93"/>
    <w:rsid w:val="49EC224C"/>
    <w:rsid w:val="4A307373"/>
    <w:rsid w:val="4B9255A3"/>
    <w:rsid w:val="4C7B71A7"/>
    <w:rsid w:val="4DFE520F"/>
    <w:rsid w:val="4FAF456F"/>
    <w:rsid w:val="50EF38E5"/>
    <w:rsid w:val="51AE1341"/>
    <w:rsid w:val="520C11E6"/>
    <w:rsid w:val="52814E1C"/>
    <w:rsid w:val="534B2C1B"/>
    <w:rsid w:val="55126E92"/>
    <w:rsid w:val="566171A0"/>
    <w:rsid w:val="56BF2F66"/>
    <w:rsid w:val="57044136"/>
    <w:rsid w:val="58E94160"/>
    <w:rsid w:val="5905702A"/>
    <w:rsid w:val="5A355440"/>
    <w:rsid w:val="5A890254"/>
    <w:rsid w:val="5AE3608B"/>
    <w:rsid w:val="5BBB26C9"/>
    <w:rsid w:val="5F0071F0"/>
    <w:rsid w:val="5FAB4379"/>
    <w:rsid w:val="60B01362"/>
    <w:rsid w:val="60BC282D"/>
    <w:rsid w:val="60FD01C6"/>
    <w:rsid w:val="61F9792B"/>
    <w:rsid w:val="647E3037"/>
    <w:rsid w:val="65A7398A"/>
    <w:rsid w:val="65EB1BD7"/>
    <w:rsid w:val="686B1EB4"/>
    <w:rsid w:val="6BE033C2"/>
    <w:rsid w:val="6CF919DC"/>
    <w:rsid w:val="6E2A3938"/>
    <w:rsid w:val="700465F8"/>
    <w:rsid w:val="75C12FC7"/>
    <w:rsid w:val="7929382B"/>
    <w:rsid w:val="79A0783E"/>
    <w:rsid w:val="7B4707E1"/>
    <w:rsid w:val="7B5E6D03"/>
    <w:rsid w:val="7BF70459"/>
    <w:rsid w:val="7C787DDF"/>
    <w:rsid w:val="7E99246E"/>
    <w:rsid w:val="7FE3719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宋体" w:cs="AdobeHeitiStd-Regular"/>
      <w:sz w:val="21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0"/>
    <w:pPr>
      <w:keepNext/>
      <w:keepLines/>
      <w:autoSpaceDE/>
      <w:autoSpaceDN/>
      <w:spacing w:before="50" w:beforeLines="50"/>
      <w:ind w:firstLine="0" w:firstLineChars="0"/>
      <w:outlineLvl w:val="0"/>
    </w:pPr>
    <w:rPr>
      <w:rFonts w:cs="Times New Roman"/>
      <w:b/>
      <w:bCs/>
      <w:kern w:val="44"/>
      <w:sz w:val="28"/>
      <w:szCs w:val="28"/>
      <w:lang w:val="zh-CN"/>
    </w:rPr>
  </w:style>
  <w:style w:type="paragraph" w:styleId="3">
    <w:name w:val="heading 2"/>
    <w:basedOn w:val="1"/>
    <w:next w:val="1"/>
    <w:link w:val="38"/>
    <w:unhideWhenUsed/>
    <w:qFormat/>
    <w:uiPriority w:val="0"/>
    <w:pPr>
      <w:keepNext/>
      <w:keepLines/>
      <w:autoSpaceDE/>
      <w:autoSpaceDN/>
      <w:spacing w:before="120"/>
      <w:ind w:firstLine="0" w:firstLineChars="0"/>
      <w:outlineLvl w:val="1"/>
    </w:pPr>
    <w:rPr>
      <w:rFonts w:cs="Times New Roman"/>
      <w:b/>
      <w:bCs/>
      <w:kern w:val="2"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ind w:firstLine="0" w:firstLineChars="0"/>
      <w:jc w:val="left"/>
      <w:outlineLvl w:val="2"/>
    </w:pPr>
    <w:rPr>
      <w:b/>
    </w:rPr>
  </w:style>
  <w:style w:type="paragraph" w:styleId="5">
    <w:name w:val="heading 4"/>
    <w:basedOn w:val="1"/>
    <w:next w:val="1"/>
    <w:link w:val="35"/>
    <w:unhideWhenUsed/>
    <w:qFormat/>
    <w:uiPriority w:val="0"/>
    <w:pPr>
      <w:keepNext/>
      <w:keepLines/>
      <w:adjustRightInd/>
      <w:snapToGrid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4"/>
    <w:semiHidden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tabs>
        <w:tab w:val="center" w:pos="4153"/>
        <w:tab w:val="right" w:pos="8306"/>
      </w:tabs>
      <w:jc w:val="center"/>
      <w:pPrChange w:id="0" w:author="CHW" w:date="2022-11-11T15:24:00Z">
        <w:pPr>
          <w:widowControl w:val="0"/>
          <w:pBdr>
            <w:bottom w:val="single" w:color="auto" w:sz="6" w:space="1"/>
          </w:pBdr>
          <w:autoSpaceDE w:val="0"/>
          <w:autoSpaceDN w:val="0"/>
          <w:adjustRightInd w:val="0"/>
          <w:snapToGrid w:val="0"/>
          <w:spacing w:line="360" w:lineRule="auto"/>
          <w:ind w:firstLine="200" w:firstLineChars="200"/>
          <w:jc w:val="center"/>
        </w:pPr>
      </w:pPrChange>
    </w:pPr>
    <w:rPr>
      <w:sz w:val="18"/>
      <w:szCs w:val="18"/>
      <w:rPrChange w:id="1" w:author="CHW" w:date="2022-11-11T15:24:00Z">
        <w:rPr>
          <w:rFonts w:eastAsia="宋体" w:cs="AdobeHeitiStd-Regular"/>
          <w:sz w:val="18"/>
          <w:szCs w:val="18"/>
          <w:lang w:val="en-US" w:eastAsia="zh-CN" w:bidi="ar-SA"/>
        </w:rPr>
      </w:rPrChange>
    </w:rPr>
  </w:style>
  <w:style w:type="paragraph" w:styleId="11">
    <w:name w:val="footnote text"/>
    <w:basedOn w:val="1"/>
    <w:link w:val="43"/>
    <w:semiHidden/>
    <w:unhideWhenUsed/>
    <w:qFormat/>
    <w:uiPriority w:val="99"/>
    <w:pPr>
      <w:jc w:val="left"/>
    </w:pPr>
    <w:rPr>
      <w:sz w:val="18"/>
      <w:szCs w:val="18"/>
    </w:rPr>
  </w:style>
  <w:style w:type="paragraph" w:styleId="1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4">
    <w:name w:val="Table Grid"/>
    <w:basedOn w:val="1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Strong"/>
    <w:qFormat/>
    <w:uiPriority w:val="0"/>
    <w:rPr>
      <w:b/>
      <w:bCs/>
    </w:rPr>
  </w:style>
  <w:style w:type="character" w:styleId="17">
    <w:name w:val="Emphasis"/>
    <w:basedOn w:val="15"/>
    <w:qFormat/>
    <w:uiPriority w:val="20"/>
    <w:rPr>
      <w:i/>
    </w:rPr>
  </w:style>
  <w:style w:type="character" w:styleId="18">
    <w:name w:val="Hyperlink"/>
    <w:basedOn w:val="15"/>
    <w:unhideWhenUsed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字符"/>
    <w:basedOn w:val="15"/>
    <w:link w:val="10"/>
    <w:qFormat/>
    <w:uiPriority w:val="99"/>
    <w:rPr>
      <w:rFonts w:cs="AdobeHeitiStd-Regular"/>
      <w:sz w:val="18"/>
      <w:szCs w:val="18"/>
    </w:rPr>
  </w:style>
  <w:style w:type="character" w:customStyle="1" w:styleId="21">
    <w:name w:val="页脚 字符"/>
    <w:basedOn w:val="15"/>
    <w:link w:val="9"/>
    <w:qFormat/>
    <w:uiPriority w:val="99"/>
    <w:rPr>
      <w:rFonts w:ascii="Tahoma" w:hAnsi="Tahoma"/>
      <w:sz w:val="18"/>
      <w:szCs w:val="18"/>
    </w:rPr>
  </w:style>
  <w:style w:type="character" w:customStyle="1" w:styleId="22">
    <w:name w:val="apple-converted-space"/>
    <w:basedOn w:val="15"/>
    <w:qFormat/>
    <w:uiPriority w:val="0"/>
  </w:style>
  <w:style w:type="paragraph" w:styleId="23">
    <w:name w:val="List Paragraph"/>
    <w:basedOn w:val="1"/>
    <w:qFormat/>
    <w:uiPriority w:val="34"/>
    <w:pPr>
      <w:ind w:firstLine="420"/>
    </w:p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黑体简体." w:eastAsia="方正黑体简体." w:cs="方正黑体简体." w:hAnsiTheme="minorHAnsi"/>
      <w:color w:val="000000"/>
      <w:sz w:val="24"/>
      <w:szCs w:val="24"/>
      <w:lang w:val="en-US" w:eastAsia="zh-CN" w:bidi="ar-SA"/>
    </w:rPr>
  </w:style>
  <w:style w:type="character" w:customStyle="1" w:styleId="25">
    <w:name w:val="A3"/>
    <w:qFormat/>
    <w:uiPriority w:val="99"/>
    <w:rPr>
      <w:rFonts w:ascii="Times New Roman" w:hAnsi="Times New Roman" w:cs="Times New Roman"/>
      <w:color w:val="211D1E"/>
      <w:sz w:val="31"/>
      <w:szCs w:val="31"/>
    </w:rPr>
  </w:style>
  <w:style w:type="character" w:customStyle="1" w:styleId="26">
    <w:name w:val="A5"/>
    <w:qFormat/>
    <w:uiPriority w:val="99"/>
    <w:rPr>
      <w:rFonts w:ascii="Times New Roman" w:hAnsi="Times New Roman" w:cs="Times New Roman"/>
      <w:color w:val="211D1E"/>
      <w:sz w:val="16"/>
      <w:szCs w:val="16"/>
    </w:rPr>
  </w:style>
  <w:style w:type="character" w:customStyle="1" w:styleId="27">
    <w:name w:val="A8"/>
    <w:qFormat/>
    <w:uiPriority w:val="99"/>
    <w:rPr>
      <w:rFonts w:ascii="Times New Roman" w:hAnsi="Times New Roman" w:cs="Times New Roman"/>
      <w:color w:val="211D1E"/>
      <w:sz w:val="12"/>
      <w:szCs w:val="12"/>
    </w:rPr>
  </w:style>
  <w:style w:type="paragraph" w:customStyle="1" w:styleId="28">
    <w:name w:val="Pa14"/>
    <w:basedOn w:val="24"/>
    <w:next w:val="24"/>
    <w:qFormat/>
    <w:uiPriority w:val="99"/>
    <w:pPr>
      <w:spacing w:line="211" w:lineRule="atLeast"/>
    </w:pPr>
    <w:rPr>
      <w:rFonts w:ascii="Times New Roman" w:hAnsi="Times New Roman" w:eastAsia="微软雅黑" w:cs="Times New Roman"/>
      <w:color w:val="auto"/>
    </w:rPr>
  </w:style>
  <w:style w:type="character" w:customStyle="1" w:styleId="29">
    <w:name w:val="批注框文本 字符"/>
    <w:basedOn w:val="15"/>
    <w:link w:val="8"/>
    <w:semiHidden/>
    <w:qFormat/>
    <w:uiPriority w:val="99"/>
    <w:rPr>
      <w:rFonts w:ascii="Tahoma" w:hAnsi="Tahoma"/>
      <w:sz w:val="18"/>
      <w:szCs w:val="18"/>
    </w:rPr>
  </w:style>
  <w:style w:type="character" w:customStyle="1" w:styleId="30">
    <w:name w:val="A0"/>
    <w:qFormat/>
    <w:uiPriority w:val="99"/>
    <w:rPr>
      <w:color w:val="211D1E"/>
      <w:sz w:val="17"/>
      <w:szCs w:val="17"/>
    </w:rPr>
  </w:style>
  <w:style w:type="paragraph" w:customStyle="1" w:styleId="31">
    <w:name w:val="Pa27"/>
    <w:basedOn w:val="24"/>
    <w:next w:val="24"/>
    <w:qFormat/>
    <w:uiPriority w:val="99"/>
    <w:pPr>
      <w:spacing w:line="181" w:lineRule="atLeast"/>
    </w:pPr>
    <w:rPr>
      <w:rFonts w:ascii="宋体" w:eastAsia="宋体" w:cstheme="minorBidi"/>
      <w:color w:val="auto"/>
    </w:rPr>
  </w:style>
  <w:style w:type="character" w:customStyle="1" w:styleId="32">
    <w:name w:val="A1"/>
    <w:qFormat/>
    <w:uiPriority w:val="99"/>
    <w:rPr>
      <w:rFonts w:cs="仿宋"/>
      <w:color w:val="221E1F"/>
      <w:sz w:val="18"/>
      <w:szCs w:val="18"/>
    </w:rPr>
  </w:style>
  <w:style w:type="paragraph" w:customStyle="1" w:styleId="33">
    <w:name w:val="Char Char Char Char"/>
    <w:basedOn w:val="1"/>
    <w:qFormat/>
    <w:uiPriority w:val="0"/>
    <w:pPr>
      <w:adjustRightInd/>
      <w:snapToGrid/>
    </w:pPr>
    <w:rPr>
      <w:rFonts w:cs="Times New Roman"/>
      <w:kern w:val="2"/>
      <w:szCs w:val="24"/>
    </w:rPr>
  </w:style>
  <w:style w:type="character" w:customStyle="1" w:styleId="34">
    <w:name w:val="文档结构图 字符"/>
    <w:basedOn w:val="15"/>
    <w:link w:val="6"/>
    <w:semiHidden/>
    <w:qFormat/>
    <w:uiPriority w:val="99"/>
    <w:rPr>
      <w:rFonts w:ascii="宋体" w:hAnsi="Tahoma" w:eastAsia="宋体"/>
      <w:sz w:val="18"/>
      <w:szCs w:val="18"/>
    </w:rPr>
  </w:style>
  <w:style w:type="character" w:customStyle="1" w:styleId="35">
    <w:name w:val="标题 4 字符"/>
    <w:basedOn w:val="15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36">
    <w:name w:val="表内文字"/>
    <w:basedOn w:val="1"/>
    <w:link w:val="37"/>
    <w:qFormat/>
    <w:uiPriority w:val="0"/>
    <w:pPr>
      <w:adjustRightInd/>
      <w:snapToGrid/>
      <w:jc w:val="center"/>
    </w:pPr>
    <w:rPr>
      <w:rFonts w:ascii="宋体" w:hAnsi="宋体" w:cs="Times New Roman"/>
      <w:kern w:val="2"/>
      <w:szCs w:val="21"/>
    </w:rPr>
  </w:style>
  <w:style w:type="character" w:customStyle="1" w:styleId="37">
    <w:name w:val="表内文字 Char"/>
    <w:basedOn w:val="15"/>
    <w:link w:val="36"/>
    <w:qFormat/>
    <w:uiPriority w:val="0"/>
    <w:rPr>
      <w:rFonts w:ascii="宋体" w:hAnsi="宋体" w:eastAsia="宋体" w:cs="Times New Roman"/>
      <w:kern w:val="2"/>
      <w:sz w:val="21"/>
      <w:szCs w:val="21"/>
    </w:rPr>
  </w:style>
  <w:style w:type="character" w:customStyle="1" w:styleId="38">
    <w:name w:val="标题 2 字符"/>
    <w:basedOn w:val="15"/>
    <w:link w:val="3"/>
    <w:qFormat/>
    <w:uiPriority w:val="0"/>
    <w:rPr>
      <w:b/>
      <w:bCs/>
      <w:kern w:val="2"/>
      <w:sz w:val="24"/>
      <w:szCs w:val="32"/>
    </w:rPr>
  </w:style>
  <w:style w:type="paragraph" w:customStyle="1" w:styleId="39">
    <w:name w:val="修订1"/>
    <w:hidden/>
    <w:semiHidden/>
    <w:qFormat/>
    <w:uiPriority w:val="99"/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customStyle="1" w:styleId="40">
    <w:name w:val="fontstyle01"/>
    <w:qFormat/>
    <w:uiPriority w:val="0"/>
    <w:rPr>
      <w:rFonts w:hint="default" w:ascii="FZKTK--GBK1-0" w:hAnsi="FZKTK--GBK1-0"/>
      <w:color w:val="242021"/>
      <w:sz w:val="18"/>
      <w:szCs w:val="18"/>
    </w:rPr>
  </w:style>
  <w:style w:type="character" w:customStyle="1" w:styleId="41">
    <w:name w:val="标题 1 字符"/>
    <w:basedOn w:val="15"/>
    <w:link w:val="2"/>
    <w:qFormat/>
    <w:uiPriority w:val="0"/>
    <w:rPr>
      <w:rFonts w:eastAsia="宋体"/>
      <w:b/>
      <w:bCs/>
      <w:kern w:val="44"/>
      <w:sz w:val="28"/>
      <w:szCs w:val="28"/>
      <w:lang w:val="zh-CN" w:eastAsia="zh-CN"/>
    </w:rPr>
  </w:style>
  <w:style w:type="character" w:customStyle="1" w:styleId="42">
    <w:name w:val="fontstyle31"/>
    <w:qFormat/>
    <w:uiPriority w:val="0"/>
    <w:rPr>
      <w:rFonts w:hint="default" w:ascii="NEU-BZ-Italic" w:hAnsi="NEU-BZ-Italic"/>
      <w:i/>
      <w:iCs/>
      <w:color w:val="242021"/>
      <w:sz w:val="18"/>
      <w:szCs w:val="18"/>
    </w:rPr>
  </w:style>
  <w:style w:type="character" w:customStyle="1" w:styleId="43">
    <w:name w:val="脚注文本 字符"/>
    <w:basedOn w:val="15"/>
    <w:link w:val="11"/>
    <w:semiHidden/>
    <w:qFormat/>
    <w:uiPriority w:val="99"/>
    <w:rPr>
      <w:rFonts w:cs="AdobeHeitiStd-Regular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2323569-8A1F-4895-B702-D1CA3CDF7A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3570</Words>
  <Characters>6064</Characters>
  <Lines>35</Lines>
  <Paragraphs>9</Paragraphs>
  <TotalTime>3</TotalTime>
  <ScaleCrop>false</ScaleCrop>
  <LinksUpToDate>false</LinksUpToDate>
  <CharactersWithSpaces>6575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2022-11-11T07:29:00Z</dcterms:created>
  <dc:creator>Administrator</dc:creator>
  <cp:lastModifiedBy>  G</cp:lastModifiedBy>
  <dcterms:modified xsi:type="dcterms:W3CDTF">2022-11-14T08:27:28Z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9D02406DED2349C4984E3ACF898E850B</vt:lpwstr>
  </property>
</Properties>
</file>